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eastAsia="仿宋"/>
          <w:color w:val="000000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-1158875</wp:posOffset>
            </wp:positionH>
            <wp:positionV relativeFrom="paragraph">
              <wp:posOffset>-1000760</wp:posOffset>
            </wp:positionV>
            <wp:extent cx="7569200" cy="11055985"/>
            <wp:effectExtent l="0" t="0" r="12700" b="12065"/>
            <wp:wrapNone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1055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eastAsia="仿宋"/>
          <w:color w:val="000000"/>
          <w:sz w:val="24"/>
          <w:szCs w:val="24"/>
        </w:rPr>
      </w:pPr>
    </w:p>
    <w:p>
      <w:pPr>
        <w:spacing w:line="360" w:lineRule="auto"/>
        <w:jc w:val="center"/>
        <w:rPr>
          <w:rFonts w:eastAsia="仿宋"/>
          <w:b/>
          <w:color w:val="000000"/>
          <w:sz w:val="24"/>
          <w:szCs w:val="24"/>
        </w:rPr>
      </w:pPr>
    </w:p>
    <w:p>
      <w:pPr>
        <w:spacing w:line="360" w:lineRule="auto"/>
        <w:jc w:val="center"/>
        <w:rPr>
          <w:rFonts w:eastAsia="仿宋"/>
          <w:b/>
          <w:color w:val="000000"/>
          <w:sz w:val="24"/>
          <w:szCs w:val="24"/>
        </w:rPr>
      </w:pPr>
    </w:p>
    <w:p>
      <w:pPr>
        <w:spacing w:line="360" w:lineRule="auto"/>
        <w:jc w:val="center"/>
        <w:rPr>
          <w:rFonts w:hint="eastAsia" w:eastAsia="仿宋"/>
          <w:b/>
          <w:color w:val="000000"/>
          <w:sz w:val="44"/>
          <w:szCs w:val="24"/>
        </w:rPr>
      </w:pPr>
      <w:r>
        <w:rPr>
          <w:rFonts w:hint="eastAsia" w:eastAsia="仿宋"/>
          <w:b/>
          <w:color w:val="000000"/>
          <w:sz w:val="44"/>
          <w:szCs w:val="24"/>
        </w:rPr>
        <w:t>中国工业其他行业</w:t>
      </w:r>
    </w:p>
    <w:p>
      <w:pPr>
        <w:spacing w:line="360" w:lineRule="auto"/>
        <w:jc w:val="center"/>
        <w:rPr>
          <w:rFonts w:eastAsia="仿宋"/>
          <w:color w:val="000000"/>
          <w:sz w:val="24"/>
          <w:szCs w:val="24"/>
        </w:rPr>
      </w:pPr>
      <w:r>
        <w:rPr>
          <w:rFonts w:eastAsia="仿宋"/>
          <w:b/>
          <w:color w:val="000000"/>
          <w:sz w:val="44"/>
          <w:szCs w:val="24"/>
        </w:rPr>
        <w:t>温室气体排放报告</w:t>
      </w:r>
    </w:p>
    <w:p>
      <w:pPr>
        <w:spacing w:line="360" w:lineRule="auto"/>
        <w:jc w:val="center"/>
        <w:rPr>
          <w:rFonts w:eastAsia="仿宋"/>
          <w:color w:val="000000"/>
          <w:sz w:val="24"/>
          <w:szCs w:val="24"/>
        </w:rPr>
      </w:pPr>
    </w:p>
    <w:p>
      <w:pPr>
        <w:spacing w:line="360" w:lineRule="auto"/>
        <w:jc w:val="center"/>
        <w:rPr>
          <w:rFonts w:hint="eastAsia" w:eastAsia="仿宋"/>
          <w:color w:val="000000"/>
          <w:sz w:val="24"/>
          <w:szCs w:val="24"/>
          <w:lang w:eastAsia="zh-CN"/>
        </w:rPr>
      </w:pPr>
    </w:p>
    <w:p>
      <w:pPr>
        <w:spacing w:line="360" w:lineRule="auto"/>
        <w:jc w:val="center"/>
        <w:rPr>
          <w:rFonts w:eastAsia="仿宋"/>
          <w:color w:val="000000"/>
          <w:sz w:val="24"/>
          <w:szCs w:val="24"/>
        </w:rPr>
      </w:pPr>
    </w:p>
    <w:p>
      <w:pPr>
        <w:spacing w:line="360" w:lineRule="auto"/>
        <w:jc w:val="center"/>
        <w:rPr>
          <w:rFonts w:eastAsia="仿宋"/>
          <w:color w:val="000000"/>
          <w:sz w:val="24"/>
          <w:szCs w:val="24"/>
        </w:rPr>
      </w:pPr>
    </w:p>
    <w:p>
      <w:pPr>
        <w:spacing w:line="360" w:lineRule="auto"/>
        <w:jc w:val="center"/>
        <w:rPr>
          <w:rFonts w:eastAsia="仿宋"/>
          <w:color w:val="000000"/>
          <w:sz w:val="24"/>
          <w:szCs w:val="24"/>
        </w:rPr>
      </w:pPr>
    </w:p>
    <w:p>
      <w:pPr>
        <w:spacing w:line="360" w:lineRule="auto"/>
        <w:jc w:val="center"/>
        <w:rPr>
          <w:rFonts w:eastAsia="仿宋"/>
          <w:color w:val="000000"/>
          <w:sz w:val="24"/>
          <w:szCs w:val="24"/>
        </w:rPr>
      </w:pPr>
    </w:p>
    <w:p>
      <w:pPr>
        <w:spacing w:line="360" w:lineRule="auto"/>
        <w:jc w:val="center"/>
        <w:rPr>
          <w:rFonts w:eastAsia="仿宋"/>
          <w:color w:val="000000"/>
          <w:sz w:val="24"/>
          <w:szCs w:val="24"/>
        </w:rPr>
      </w:pPr>
    </w:p>
    <w:p>
      <w:pPr>
        <w:spacing w:line="360" w:lineRule="auto"/>
        <w:jc w:val="center"/>
        <w:rPr>
          <w:rFonts w:eastAsia="仿宋"/>
          <w:color w:val="000000"/>
          <w:sz w:val="24"/>
          <w:szCs w:val="24"/>
        </w:rPr>
      </w:pPr>
    </w:p>
    <w:p>
      <w:pPr>
        <w:spacing w:line="360" w:lineRule="auto"/>
        <w:jc w:val="center"/>
        <w:rPr>
          <w:rFonts w:eastAsia="仿宋"/>
          <w:color w:val="000000"/>
          <w:sz w:val="24"/>
          <w:szCs w:val="24"/>
        </w:rPr>
      </w:pPr>
    </w:p>
    <w:p>
      <w:pPr>
        <w:spacing w:line="360" w:lineRule="auto"/>
        <w:jc w:val="center"/>
        <w:rPr>
          <w:rFonts w:eastAsia="仿宋"/>
          <w:color w:val="000000"/>
          <w:sz w:val="24"/>
          <w:szCs w:val="24"/>
        </w:rPr>
      </w:pPr>
    </w:p>
    <w:p>
      <w:pPr>
        <w:spacing w:line="360" w:lineRule="auto"/>
        <w:jc w:val="center"/>
        <w:rPr>
          <w:rFonts w:eastAsia="仿宋"/>
          <w:color w:val="000000"/>
          <w:sz w:val="24"/>
          <w:szCs w:val="24"/>
        </w:rPr>
      </w:pPr>
    </w:p>
    <w:p>
      <w:pPr>
        <w:spacing w:line="360" w:lineRule="auto"/>
        <w:jc w:val="center"/>
        <w:rPr>
          <w:rFonts w:eastAsia="仿宋"/>
          <w:color w:val="000000"/>
          <w:sz w:val="24"/>
          <w:szCs w:val="24"/>
        </w:rPr>
      </w:pPr>
    </w:p>
    <w:p>
      <w:pPr>
        <w:spacing w:line="360" w:lineRule="auto"/>
        <w:jc w:val="center"/>
        <w:rPr>
          <w:rFonts w:eastAsia="仿宋"/>
          <w:color w:val="000000"/>
          <w:sz w:val="24"/>
          <w:szCs w:val="24"/>
        </w:rPr>
      </w:pPr>
    </w:p>
    <w:p>
      <w:pPr>
        <w:spacing w:line="360" w:lineRule="auto"/>
        <w:ind w:firstLine="1400" w:firstLineChars="500"/>
        <w:rPr>
          <w:rFonts w:eastAsia="仿宋"/>
          <w:color w:val="000000"/>
          <w:sz w:val="28"/>
          <w:szCs w:val="24"/>
        </w:rPr>
      </w:pPr>
      <w:r>
        <w:rPr>
          <w:rFonts w:eastAsia="仿宋"/>
          <w:color w:val="000000"/>
          <w:sz w:val="28"/>
          <w:szCs w:val="24"/>
        </w:rPr>
        <w:t>报告主体（盖章）：</w:t>
      </w:r>
      <w:r>
        <w:rPr>
          <w:rFonts w:hint="eastAsia" w:eastAsia="仿宋"/>
          <w:color w:val="000000"/>
          <w:sz w:val="28"/>
          <w:szCs w:val="24"/>
          <w:lang w:eastAsia="zh-CN"/>
        </w:rPr>
        <w:t>成都帝龙新材料有限公司</w:t>
      </w:r>
    </w:p>
    <w:p>
      <w:pPr>
        <w:spacing w:line="360" w:lineRule="auto"/>
        <w:ind w:firstLine="1400" w:firstLineChars="500"/>
        <w:rPr>
          <w:rFonts w:eastAsia="仿宋"/>
          <w:color w:val="000000"/>
          <w:sz w:val="28"/>
          <w:szCs w:val="24"/>
        </w:rPr>
      </w:pPr>
      <w:r>
        <w:rPr>
          <w:rFonts w:eastAsia="仿宋"/>
          <w:color w:val="000000"/>
          <w:sz w:val="28"/>
          <w:szCs w:val="24"/>
        </w:rPr>
        <w:t>报告年度：</w:t>
      </w:r>
      <w:r>
        <w:rPr>
          <w:rFonts w:hint="eastAsia" w:eastAsia="仿宋"/>
          <w:color w:val="000000"/>
          <w:sz w:val="28"/>
          <w:szCs w:val="24"/>
          <w:lang w:val="en-US" w:eastAsia="zh-CN"/>
        </w:rPr>
        <w:t>2021</w:t>
      </w:r>
      <w:r>
        <w:rPr>
          <w:rFonts w:eastAsia="仿宋"/>
          <w:color w:val="000000"/>
          <w:sz w:val="28"/>
          <w:szCs w:val="24"/>
        </w:rPr>
        <w:t>年</w:t>
      </w:r>
    </w:p>
    <w:p>
      <w:pPr>
        <w:spacing w:line="360" w:lineRule="auto"/>
        <w:ind w:firstLine="1400" w:firstLineChars="500"/>
        <w:rPr>
          <w:rFonts w:eastAsia="仿宋"/>
          <w:color w:val="000000"/>
          <w:sz w:val="28"/>
          <w:szCs w:val="24"/>
        </w:rPr>
      </w:pPr>
      <w:r>
        <w:rPr>
          <w:rFonts w:eastAsia="仿宋"/>
          <w:color w:val="000000"/>
          <w:sz w:val="28"/>
          <w:szCs w:val="24"/>
        </w:rPr>
        <w:t>报告日期：202</w:t>
      </w:r>
      <w:r>
        <w:rPr>
          <w:rFonts w:hint="eastAsia" w:eastAsia="仿宋"/>
          <w:color w:val="000000"/>
          <w:sz w:val="28"/>
          <w:szCs w:val="24"/>
          <w:lang w:val="en-US" w:eastAsia="zh-CN"/>
        </w:rPr>
        <w:t>2</w:t>
      </w:r>
      <w:r>
        <w:rPr>
          <w:rFonts w:eastAsia="仿宋"/>
          <w:color w:val="000000"/>
          <w:sz w:val="28"/>
          <w:szCs w:val="24"/>
        </w:rPr>
        <w:t>年</w:t>
      </w:r>
      <w:r>
        <w:rPr>
          <w:rFonts w:hint="eastAsia" w:eastAsia="仿宋"/>
          <w:color w:val="000000"/>
          <w:sz w:val="28"/>
          <w:szCs w:val="24"/>
          <w:lang w:val="en-US" w:eastAsia="zh-CN"/>
        </w:rPr>
        <w:t>4</w:t>
      </w:r>
      <w:r>
        <w:rPr>
          <w:rFonts w:eastAsia="仿宋"/>
          <w:color w:val="000000"/>
          <w:sz w:val="28"/>
          <w:szCs w:val="24"/>
        </w:rPr>
        <w:t>月</w:t>
      </w:r>
      <w:r>
        <w:rPr>
          <w:rFonts w:hint="eastAsia" w:eastAsia="仿宋"/>
          <w:color w:val="000000"/>
          <w:sz w:val="28"/>
          <w:szCs w:val="24"/>
          <w:lang w:val="en-US" w:eastAsia="zh-CN"/>
        </w:rPr>
        <w:t>2</w:t>
      </w:r>
      <w:r>
        <w:rPr>
          <w:rFonts w:eastAsia="仿宋"/>
          <w:color w:val="000000"/>
          <w:sz w:val="28"/>
          <w:szCs w:val="24"/>
        </w:rPr>
        <w:t>日</w:t>
      </w:r>
    </w:p>
    <w:p>
      <w:pPr>
        <w:pStyle w:val="20"/>
        <w:spacing w:line="360" w:lineRule="auto"/>
        <w:ind w:firstLine="561"/>
        <w:rPr>
          <w:rFonts w:eastAsia="仿宋"/>
          <w:sz w:val="28"/>
        </w:rPr>
      </w:pPr>
      <w:r>
        <w:rPr>
          <w:rFonts w:ascii="Times New Roman" w:eastAsia="仿宋" w:cs="Times New Roman"/>
        </w:rPr>
        <w:br w:type="page"/>
      </w:r>
      <w:r>
        <w:rPr>
          <w:rFonts w:hint="eastAsia" w:ascii="Times New Roman" w:eastAsia="仿宋" w:cs="Times New Roman"/>
          <w:sz w:val="28"/>
        </w:rPr>
        <w:t>根据国家发展和改革委员会发布的《</w:t>
      </w:r>
      <w:r>
        <w:rPr>
          <w:rFonts w:hint="eastAsia" w:ascii="Times New Roman" w:eastAsia="仿宋" w:cs="Times New Roman"/>
          <w:sz w:val="28"/>
          <w:lang w:eastAsia="zh-CN"/>
        </w:rPr>
        <w:t>工业其他行业企业温室气体排放核算方法与报告指南（试行）</w:t>
      </w:r>
      <w:r>
        <w:rPr>
          <w:rFonts w:hint="eastAsia" w:ascii="Times New Roman" w:eastAsia="仿宋" w:cs="Times New Roman"/>
          <w:sz w:val="28"/>
        </w:rPr>
        <w:t>》，本报告主体核算了</w:t>
      </w:r>
      <w:r>
        <w:rPr>
          <w:rFonts w:hint="eastAsia" w:ascii="Times New Roman" w:eastAsia="仿宋" w:cs="Times New Roman"/>
          <w:sz w:val="28"/>
          <w:lang w:val="en-US" w:eastAsia="zh-CN"/>
        </w:rPr>
        <w:t>2021</w:t>
      </w:r>
      <w:r>
        <w:rPr>
          <w:rFonts w:hint="eastAsia" w:ascii="Times New Roman" w:eastAsia="仿宋" w:cs="Times New Roman"/>
          <w:sz w:val="28"/>
        </w:rPr>
        <w:t>年度温室气体排放量，并填写了相关数据表格。</w:t>
      </w:r>
    </w:p>
    <w:p>
      <w:pPr>
        <w:pStyle w:val="20"/>
        <w:spacing w:line="360" w:lineRule="auto"/>
        <w:ind w:firstLine="561"/>
        <w:rPr>
          <w:rFonts w:eastAsia="仿宋"/>
          <w:sz w:val="28"/>
        </w:rPr>
      </w:pPr>
      <w:r>
        <w:rPr>
          <w:rFonts w:eastAsia="仿宋"/>
          <w:sz w:val="28"/>
        </w:rPr>
        <w:t>现将有关情况报告如下：</w:t>
      </w:r>
    </w:p>
    <w:p>
      <w:pPr>
        <w:numPr>
          <w:ilvl w:val="0"/>
          <w:numId w:val="1"/>
        </w:numPr>
        <w:spacing w:before="156" w:beforeLines="50" w:after="156" w:afterLines="50" w:line="360" w:lineRule="auto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企业基本情况</w:t>
      </w:r>
    </w:p>
    <w:tbl>
      <w:tblPr>
        <w:tblStyle w:val="9"/>
        <w:tblW w:w="841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1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14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  <w:lang w:eastAsia="zh-CN"/>
              </w:rPr>
              <w:t>成都帝龙新材料有限公司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14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  <w:lang w:eastAsia="zh-CN"/>
              </w:rPr>
              <w:t>成都崇州经济开发区世纪大道583号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614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  <w:lang w:eastAsia="zh-CN"/>
              </w:rPr>
              <w:t>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组织机构代码</w:t>
            </w:r>
          </w:p>
        </w:tc>
        <w:tc>
          <w:tcPr>
            <w:tcW w:w="614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  <w:lang w:eastAsia="zh-CN"/>
              </w:rPr>
              <w:t>9151018468902065X1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614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  <w:lang w:eastAsia="zh-CN"/>
              </w:rPr>
              <w:t>C</w:t>
            </w:r>
            <w:r>
              <w:rPr>
                <w:rFonts w:hint="eastAsia" w:ascii="仿宋" w:hAnsi="仿宋" w:eastAsia="仿宋" w:cs="黑体"/>
                <w:kern w:val="0"/>
                <w:sz w:val="28"/>
                <w:szCs w:val="28"/>
                <w:lang w:val="en-US" w:eastAsia="zh-CN"/>
              </w:rPr>
              <w:t xml:space="preserve">2239 </w:t>
            </w:r>
            <w:r>
              <w:rPr>
                <w:rFonts w:hint="eastAsia" w:ascii="仿宋" w:hAnsi="仿宋" w:eastAsia="仿宋" w:cs="黑体"/>
                <w:kern w:val="0"/>
                <w:sz w:val="28"/>
                <w:szCs w:val="28"/>
                <w:lang w:eastAsia="zh-CN"/>
              </w:rPr>
              <w:t>其他纸制品制造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报告年度</w:t>
            </w:r>
          </w:p>
        </w:tc>
        <w:tc>
          <w:tcPr>
            <w:tcW w:w="614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  <w:lang w:eastAsia="zh-CN"/>
              </w:rPr>
              <w:t>20</w:t>
            </w:r>
            <w:r>
              <w:rPr>
                <w:rFonts w:hint="eastAsia" w:ascii="仿宋" w:hAnsi="仿宋" w:eastAsia="仿宋" w:cs="黑体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" w:hAnsi="仿宋" w:eastAsia="仿宋" w:cs="黑体"/>
                <w:kern w:val="0"/>
                <w:sz w:val="28"/>
                <w:szCs w:val="28"/>
                <w:lang w:eastAsia="zh-CN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614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  <w:lang w:eastAsia="zh-CN"/>
              </w:rPr>
              <w:t>潘勇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614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  <w:lang w:eastAsia="zh-CN"/>
              </w:rPr>
              <w:t>胡小秧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负责人电话</w:t>
            </w:r>
          </w:p>
        </w:tc>
        <w:tc>
          <w:tcPr>
            <w:tcW w:w="614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  <w:lang w:val="en-US" w:eastAsia="zh-CN"/>
              </w:rPr>
              <w:t>13730870007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auto"/>
                <w:kern w:val="0"/>
                <w:sz w:val="28"/>
                <w:szCs w:val="28"/>
              </w:rPr>
              <w:t>负责人邮箱</w:t>
            </w:r>
          </w:p>
        </w:tc>
        <w:tc>
          <w:tcPr>
            <w:tcW w:w="614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黑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黑体"/>
                <w:color w:val="auto"/>
                <w:kern w:val="0"/>
                <w:sz w:val="28"/>
                <w:szCs w:val="28"/>
                <w:lang w:val="en-US" w:eastAsia="zh-CN"/>
              </w:rPr>
              <w:t>511439876</w:t>
            </w:r>
            <w:r>
              <w:rPr>
                <w:rFonts w:hint="eastAsia" w:ascii="仿宋" w:hAnsi="仿宋" w:eastAsia="仿宋" w:cs="黑体"/>
                <w:color w:val="auto"/>
                <w:kern w:val="0"/>
                <w:sz w:val="28"/>
                <w:szCs w:val="28"/>
                <w:lang w:eastAsia="zh-CN"/>
              </w:rPr>
              <w:t>@qq.com</w:t>
            </w:r>
          </w:p>
        </w:tc>
      </w:tr>
    </w:tbl>
    <w:p>
      <w:pPr>
        <w:autoSpaceDE w:val="0"/>
        <w:autoSpaceDN w:val="0"/>
        <w:adjustRightInd w:val="0"/>
        <w:spacing w:before="240"/>
        <w:ind w:firstLine="600"/>
        <w:rPr>
          <w:rFonts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</w:rPr>
        <w:t>二、温室气体排放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本</w:t>
      </w:r>
      <w:r>
        <w:rPr>
          <w:rFonts w:hint="eastAsia" w:ascii="仿宋" w:hAnsi="仿宋" w:eastAsia="仿宋" w:cs="仿宋_GB2312"/>
          <w:kern w:val="0"/>
          <w:sz w:val="30"/>
          <w:szCs w:val="30"/>
          <w:lang w:eastAsia="zh-CN"/>
        </w:rPr>
        <w:t>单位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在本年度核算和报告期内温室气体排放总量为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8778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吨二氧化碳当量。其中化石燃料燃烧排放量为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6503.08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吨二氧化碳当量;净购入使用的电力产生的排放量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为2275.31吨二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氧化碳当量。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00"/>
        <w:textAlignment w:val="auto"/>
        <w:rPr>
          <w:rFonts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</w:rPr>
        <w:t>三、活动水平数据及来源说明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00"/>
        <w:textAlignment w:val="auto"/>
        <w:rPr>
          <w:rFonts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根据《指南》要求，报告主体应报告</w:t>
      </w:r>
      <w:r>
        <w:rPr>
          <w:rFonts w:hint="eastAsia" w:ascii="仿宋" w:hAnsi="仿宋" w:eastAsia="仿宋" w:cs="仿宋_GB2312"/>
          <w:kern w:val="0"/>
          <w:sz w:val="30"/>
          <w:szCs w:val="30"/>
          <w:lang w:eastAsia="zh-CN"/>
        </w:rPr>
        <w:t>单位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所使用的不同品种化石燃料的净消耗量和相应的低位发热值，净购入的电量等活动水平数据以及相关活动水平数据的来源。</w:t>
      </w:r>
    </w:p>
    <w:p>
      <w:pPr>
        <w:autoSpaceDE w:val="0"/>
        <w:autoSpaceDN w:val="0"/>
        <w:adjustRightInd w:val="0"/>
        <w:ind w:firstLine="600"/>
        <w:rPr>
          <w:rFonts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根据活动水平数据的获得方法，本报告对活动水平数据的来源进行了分类，其分类方法和说明如下表所示：</w:t>
      </w:r>
    </w:p>
    <w:tbl>
      <w:tblPr>
        <w:tblStyle w:val="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活动水平数据来源种类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both"/>
              <w:rPr>
                <w:rFonts w:ascii="仿宋" w:hAnsi="仿宋" w:eastAsia="仿宋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发票收据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" w:hAnsi="仿宋" w:eastAsia="仿宋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基于财务结算票据上的数据得到的活动水平数据，常见的如用电量数据等。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both"/>
              <w:rPr>
                <w:rFonts w:ascii="仿宋" w:hAnsi="仿宋" w:eastAsia="仿宋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测量记录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hint="eastAsia" w:ascii="仿宋" w:hAnsi="仿宋" w:eastAsia="仿宋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基于连续或者间断的测量数据来得出的活动水平数据。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both"/>
              <w:rPr>
                <w:rFonts w:ascii="仿宋" w:hAnsi="仿宋" w:eastAsia="仿宋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使用记录</w:t>
            </w:r>
          </w:p>
        </w:tc>
        <w:tc>
          <w:tcPr>
            <w:tcW w:w="0" w:type="auto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hint="eastAsia" w:ascii="仿宋" w:hAnsi="仿宋" w:eastAsia="仿宋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基于现场人员非计量的使用记录得到的活动水平数据。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both"/>
              <w:rPr>
                <w:rFonts w:ascii="仿宋" w:hAnsi="仿宋" w:eastAsia="仿宋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专家建议</w:t>
            </w:r>
          </w:p>
        </w:tc>
        <w:tc>
          <w:tcPr>
            <w:tcW w:w="0" w:type="auto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hint="eastAsia" w:ascii="仿宋" w:hAnsi="仿宋" w:eastAsia="仿宋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权威专家推荐值或有文献可考的推算值。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both"/>
              <w:rPr>
                <w:rFonts w:ascii="仿宋" w:hAnsi="仿宋" w:eastAsia="仿宋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自行评估</w:t>
            </w:r>
          </w:p>
        </w:tc>
        <w:tc>
          <w:tcPr>
            <w:tcW w:w="0" w:type="auto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hint="eastAsia" w:ascii="仿宋" w:hAnsi="仿宋" w:eastAsia="仿宋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通过公司内部现场人员的经验估值。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" w:hAnsi="仿宋" w:eastAsia="仿宋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缺省值</w:t>
            </w:r>
          </w:p>
        </w:tc>
        <w:tc>
          <w:tcPr>
            <w:tcW w:w="0" w:type="auto"/>
            <w:vAlign w:val="top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hint="eastAsia" w:ascii="仿宋" w:hAnsi="仿宋" w:eastAsia="仿宋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采用《指南》上提出的缺省值</w:t>
            </w:r>
          </w:p>
        </w:tc>
      </w:tr>
    </w:tbl>
    <w:p>
      <w:pPr>
        <w:autoSpaceDE w:val="0"/>
        <w:autoSpaceDN w:val="0"/>
        <w:adjustRightInd w:val="0"/>
        <w:ind w:firstLine="600"/>
        <w:rPr>
          <w:rFonts w:ascii="仿宋" w:hAnsi="仿宋" w:eastAsia="仿宋" w:cs="仿宋_GB2312"/>
          <w:kern w:val="0"/>
          <w:sz w:val="30"/>
          <w:szCs w:val="30"/>
        </w:rPr>
        <w:sectPr>
          <w:pgSz w:w="11906" w:h="16838"/>
          <w:pgMar w:top="1440" w:right="1800" w:bottom="1440" w:left="1800" w:header="851" w:footer="992" w:gutter="0"/>
          <w:pgNumType w:start="0"/>
          <w:cols w:space="720" w:num="1"/>
          <w:titlePg/>
          <w:docGrid w:type="lines" w:linePitch="312" w:charSpace="0"/>
        </w:sect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本报告中采用的活动水平数据及来源如下表所示：</w:t>
      </w:r>
    </w:p>
    <w:tbl>
      <w:tblPr>
        <w:tblStyle w:val="9"/>
        <w:tblW w:w="85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035"/>
        <w:gridCol w:w="1425"/>
        <w:gridCol w:w="2195"/>
        <w:gridCol w:w="1841"/>
        <w:gridCol w:w="10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排放源类别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燃料类别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净消耗量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（万Nm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数据来源</w:t>
            </w:r>
          </w:p>
        </w:tc>
        <w:tc>
          <w:tcPr>
            <w:tcW w:w="1841" w:type="dxa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低位发热（GJ/万立方米）</w:t>
            </w: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数据来源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燃料燃烧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天然气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32"/>
                <w:lang w:val="en-US" w:eastAsia="zh-CN"/>
              </w:rPr>
              <w:t>300.7638</w:t>
            </w:r>
          </w:p>
        </w:tc>
        <w:tc>
          <w:tcPr>
            <w:tcW w:w="219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32"/>
              </w:rPr>
              <w:t>天然气</w:t>
            </w:r>
            <w:r>
              <w:rPr>
                <w:rFonts w:hint="eastAsia" w:ascii="仿宋" w:hAnsi="仿宋" w:eastAsia="仿宋"/>
                <w:color w:val="auto"/>
                <w:sz w:val="24"/>
                <w:szCs w:val="32"/>
                <w:lang w:eastAsia="zh-CN"/>
              </w:rPr>
              <w:t>用量统计表</w:t>
            </w:r>
          </w:p>
        </w:tc>
        <w:tc>
          <w:tcPr>
            <w:tcW w:w="18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389.3</w:t>
            </w:r>
          </w:p>
        </w:tc>
        <w:tc>
          <w:tcPr>
            <w:tcW w:w="10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缺省值</w:t>
            </w:r>
          </w:p>
        </w:tc>
      </w:tr>
    </w:tbl>
    <w:p>
      <w:pPr>
        <w:autoSpaceDE w:val="0"/>
        <w:autoSpaceDN w:val="0"/>
        <w:adjustRightInd w:val="0"/>
        <w:spacing w:before="240"/>
        <w:rPr>
          <w:rFonts w:ascii="黑体" w:eastAsia="黑体" w:cs="黑体"/>
          <w:kern w:val="0"/>
          <w:sz w:val="30"/>
          <w:szCs w:val="30"/>
        </w:rPr>
      </w:pPr>
    </w:p>
    <w:tbl>
      <w:tblPr>
        <w:tblStyle w:val="9"/>
        <w:tblW w:w="8668" w:type="dxa"/>
        <w:tblInd w:w="-1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668"/>
        <w:gridCol w:w="2563"/>
        <w:gridCol w:w="2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净购入使用的电力</w:t>
            </w:r>
          </w:p>
        </w:tc>
        <w:tc>
          <w:tcPr>
            <w:tcW w:w="16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25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数据</w:t>
            </w:r>
          </w:p>
        </w:tc>
        <w:tc>
          <w:tcPr>
            <w:tcW w:w="28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数据来源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MWh</w:t>
            </w:r>
          </w:p>
        </w:tc>
        <w:tc>
          <w:tcPr>
            <w:tcW w:w="2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32"/>
                <w:lang w:val="en-US" w:eastAsia="zh-CN" w:bidi="ar-SA"/>
              </w:rPr>
              <w:t>4328.154</w:t>
            </w:r>
          </w:p>
        </w:tc>
        <w:tc>
          <w:tcPr>
            <w:tcW w:w="2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用电记录统计表</w:t>
            </w:r>
          </w:p>
        </w:tc>
      </w:tr>
    </w:tbl>
    <w:p>
      <w:pPr>
        <w:autoSpaceDE w:val="0"/>
        <w:autoSpaceDN w:val="0"/>
        <w:adjustRightInd w:val="0"/>
        <w:spacing w:before="240"/>
        <w:rPr>
          <w:rFonts w:ascii="黑体" w:eastAsia="黑体" w:cs="黑体"/>
          <w:kern w:val="0"/>
          <w:sz w:val="30"/>
          <w:szCs w:val="30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</w:p>
    <w:p>
      <w:pPr>
        <w:autoSpaceDE w:val="0"/>
        <w:autoSpaceDN w:val="0"/>
        <w:adjustRightInd w:val="0"/>
        <w:spacing w:before="240"/>
        <w:ind w:firstLine="600"/>
        <w:rPr>
          <w:rFonts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</w:rPr>
        <w:t>四、排放因子数据及来源说明</w:t>
      </w:r>
    </w:p>
    <w:p>
      <w:pPr>
        <w:autoSpaceDE w:val="0"/>
        <w:autoSpaceDN w:val="0"/>
        <w:adjustRightInd w:val="0"/>
        <w:ind w:firstLine="600"/>
        <w:rPr>
          <w:rFonts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根据《指南》要求，报告主体应报告消耗的各种化石燃料的单位热值含碳量和碳氧化率，脱硫剂的排放因子，净购入使用电力的排放因子。本报告中采用的排放因子及来源如下表所示：</w:t>
      </w:r>
    </w:p>
    <w:tbl>
      <w:tblPr>
        <w:tblStyle w:val="9"/>
        <w:tblW w:w="90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598"/>
        <w:gridCol w:w="1846"/>
        <w:gridCol w:w="1674"/>
        <w:gridCol w:w="1276"/>
        <w:gridCol w:w="1418"/>
        <w:gridCol w:w="7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5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排放源类别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燃料类别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单位热值含碳量</w:t>
            </w:r>
            <w:r>
              <w:rPr>
                <w:rFonts w:ascii="仿宋" w:hAnsi="仿宋" w:eastAsia="仿宋"/>
                <w:color w:val="000000"/>
                <w:sz w:val="24"/>
              </w:rPr>
              <w:br w:type="textWrapping"/>
            </w:r>
            <w:r>
              <w:rPr>
                <w:rFonts w:ascii="仿宋" w:hAnsi="仿宋" w:eastAsia="仿宋"/>
                <w:color w:val="000000"/>
                <w:sz w:val="24"/>
              </w:rPr>
              <w:t>（tC/tJ）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数据来源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碳氧化率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数据来源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59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燃料燃烧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天然气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15.3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缺省值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9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9.0</w:t>
            </w:r>
            <w:r>
              <w:rPr>
                <w:rFonts w:ascii="仿宋" w:hAnsi="仿宋" w:eastAsia="仿宋"/>
                <w:color w:val="000000"/>
                <w:sz w:val="24"/>
              </w:rPr>
              <w:t>%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缺省值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159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净购入电力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排放因子</w:t>
            </w:r>
          </w:p>
        </w:tc>
        <w:tc>
          <w:tcPr>
            <w:tcW w:w="4368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单位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数据来源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59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仿宋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0.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5257</w:t>
            </w: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tCO</w:t>
            </w:r>
            <w:r>
              <w:rPr>
                <w:rFonts w:ascii="仿宋" w:hAnsi="仿宋" w:eastAsia="仿宋"/>
                <w:color w:val="000000"/>
                <w:sz w:val="24"/>
                <w:vertAlign w:val="subscript"/>
              </w:rPr>
              <w:t>2</w:t>
            </w:r>
            <w:r>
              <w:rPr>
                <w:rFonts w:ascii="仿宋" w:hAnsi="仿宋" w:eastAsia="仿宋"/>
                <w:color w:val="000000"/>
                <w:sz w:val="24"/>
              </w:rPr>
              <w:t>/MWh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缺省值</w:t>
            </w:r>
          </w:p>
        </w:tc>
      </w:tr>
    </w:tbl>
    <w:p>
      <w:pPr>
        <w:autoSpaceDE w:val="0"/>
        <w:autoSpaceDN w:val="0"/>
        <w:adjustRightInd w:val="0"/>
        <w:spacing w:before="240"/>
        <w:ind w:firstLine="600"/>
        <w:rPr>
          <w:rFonts w:hint="eastAsia" w:ascii="黑体" w:hAnsi="Times New Roman" w:eastAsia="黑体" w:cs="黑体"/>
          <w:kern w:val="0"/>
          <w:sz w:val="30"/>
          <w:szCs w:val="30"/>
        </w:rPr>
      </w:pPr>
      <w:r>
        <w:rPr>
          <w:rFonts w:hint="eastAsia" w:ascii="黑体" w:hAnsi="Times New Roman" w:eastAsia="黑体" w:cs="黑体"/>
          <w:kern w:val="0"/>
          <w:sz w:val="30"/>
          <w:szCs w:val="30"/>
        </w:rPr>
        <w:t>五、主要产品列表</w:t>
      </w:r>
    </w:p>
    <w:p>
      <w:pPr>
        <w:pStyle w:val="20"/>
        <w:spacing w:line="360" w:lineRule="auto"/>
        <w:jc w:val="center"/>
        <w:rPr>
          <w:rFonts w:ascii="Times New Roman" w:eastAsia="仿宋" w:cs="Times New Roman"/>
          <w:b/>
          <w:color w:val="auto"/>
        </w:rPr>
      </w:pPr>
      <w:r>
        <w:rPr>
          <w:rFonts w:ascii="Times New Roman" w:eastAsia="仿宋" w:cs="Times New Roman"/>
          <w:b/>
          <w:color w:val="auto"/>
        </w:rPr>
        <w:t>表5-1 主要产品产量表</w:t>
      </w:r>
    </w:p>
    <w:tbl>
      <w:tblPr>
        <w:tblStyle w:val="9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917"/>
        <w:gridCol w:w="1790"/>
        <w:gridCol w:w="1948"/>
        <w:gridCol w:w="1631"/>
        <w:gridCol w:w="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</w:rPr>
              <w:t>年</w:t>
            </w: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</w:rPr>
              <w:t>产量</w:t>
            </w: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</w:rPr>
              <w:t>设计产能</w:t>
            </w: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05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装饰板</w:t>
            </w:r>
          </w:p>
        </w:tc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113.92万张</w:t>
            </w: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8"/>
                <w:lang w:val="en-US" w:eastAsia="zh-CN"/>
              </w:rPr>
              <w:t>165万张</w:t>
            </w: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折2278.30吨</w:t>
            </w: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8"/>
                <w:lang w:val="en-US" w:eastAsia="zh-CN"/>
              </w:rPr>
              <w:t>/</w:t>
            </w: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5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PVC装饰膜</w:t>
            </w:r>
          </w:p>
        </w:tc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117.64万米</w:t>
            </w: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8"/>
                <w:lang w:val="en-US" w:eastAsia="zh-CN"/>
              </w:rPr>
              <w:t>1056万米</w:t>
            </w: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折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71.06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吨</w:t>
            </w: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</w:rPr>
              <w:t>/</w:t>
            </w: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装饰纸</w:t>
            </w:r>
          </w:p>
        </w:tc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6985.76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吨</w:t>
            </w: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8"/>
                <w:lang w:val="en-US" w:eastAsia="zh-CN"/>
              </w:rPr>
              <w:t>9640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吨</w:t>
            </w: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浸渍纸</w:t>
            </w:r>
          </w:p>
        </w:tc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1292.04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吨</w:t>
            </w: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8"/>
                <w:lang w:val="en-US" w:eastAsia="zh-CN"/>
              </w:rPr>
              <w:t>1800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吨</w:t>
            </w: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Cs/>
                <w:color w:val="auto"/>
                <w:kern w:val="0"/>
                <w:sz w:val="24"/>
                <w:szCs w:val="24"/>
              </w:rPr>
              <w:t>/</w:t>
            </w:r>
          </w:p>
        </w:tc>
      </w:tr>
    </w:tbl>
    <w:p>
      <w:pPr>
        <w:spacing w:before="156" w:beforeLines="50" w:after="156" w:afterLines="50" w:line="360" w:lineRule="auto"/>
        <w:rPr>
          <w:rFonts w:eastAsia="仿宋"/>
          <w:b/>
          <w:color w:val="000000"/>
          <w:sz w:val="24"/>
          <w:szCs w:val="24"/>
        </w:rPr>
        <w:sectPr>
          <w:footerReference r:id="rId4" w:type="default"/>
          <w:headerReference r:id="rId3" w:type="even"/>
          <w:pgSz w:w="11906" w:h="16838"/>
          <w:pgMar w:top="1440" w:right="1800" w:bottom="1440" w:left="1800" w:header="851" w:footer="567" w:gutter="0"/>
          <w:pgNumType w:start="0"/>
          <w:cols w:space="720" w:num="1"/>
          <w:titlePg/>
          <w:docGrid w:type="lines" w:linePitch="312" w:charSpace="0"/>
        </w:sectPr>
      </w:pPr>
    </w:p>
    <w:p>
      <w:pPr>
        <w:rPr>
          <w:rFonts w:eastAsia="仿宋"/>
          <w:b/>
          <w:bCs/>
          <w:color w:val="000000"/>
          <w:sz w:val="24"/>
          <w:szCs w:val="24"/>
        </w:rPr>
      </w:pPr>
      <w:r>
        <w:rPr>
          <w:rFonts w:eastAsia="仿宋"/>
          <w:b/>
          <w:bCs/>
          <w:color w:val="000000"/>
          <w:sz w:val="24"/>
          <w:szCs w:val="24"/>
        </w:rPr>
        <w:br w:type="page"/>
      </w:r>
      <w:bookmarkStart w:id="0" w:name="_GoBack"/>
      <w:bookmarkEnd w:id="0"/>
    </w:p>
    <w:p>
      <w:pPr>
        <w:spacing w:line="360" w:lineRule="auto"/>
        <w:jc w:val="center"/>
        <w:rPr>
          <w:rFonts w:hint="eastAsia" w:eastAsia="仿宋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eastAsia="仿宋"/>
          <w:color w:val="000000"/>
          <w:sz w:val="24"/>
          <w:szCs w:val="24"/>
          <w:lang w:eastAsia="zh-CN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-1127125</wp:posOffset>
            </wp:positionH>
            <wp:positionV relativeFrom="paragraph">
              <wp:posOffset>-981075</wp:posOffset>
            </wp:positionV>
            <wp:extent cx="7560310" cy="9991090"/>
            <wp:effectExtent l="0" t="0" r="2540" b="10160"/>
            <wp:wrapNone/>
            <wp:docPr id="1" name="图片 1" descr="1A3AE71C653B2367951DA3C9E0467A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A3AE71C653B2367951DA3C9E0467AE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999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仿宋"/>
          <w:b/>
          <w:bCs/>
          <w:color w:val="000000"/>
          <w:sz w:val="24"/>
          <w:szCs w:val="24"/>
          <w:lang w:val="en-US" w:eastAsia="zh-CN"/>
        </w:rPr>
        <w:t xml:space="preserve">  </w:t>
      </w:r>
    </w:p>
    <w:p>
      <w:pPr>
        <w:spacing w:line="360" w:lineRule="auto"/>
        <w:jc w:val="center"/>
        <w:rPr>
          <w:rFonts w:hint="eastAsia" w:eastAsia="仿宋"/>
          <w:b/>
          <w:bCs/>
          <w:color w:val="000000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 w:eastAsia="仿宋"/>
          <w:b/>
          <w:bCs/>
          <w:color w:val="000000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 w:eastAsia="仿宋"/>
          <w:b/>
          <w:bCs/>
          <w:color w:val="000000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 w:eastAsia="仿宋"/>
          <w:b/>
          <w:bCs/>
          <w:color w:val="000000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 w:eastAsia="仿宋"/>
          <w:b/>
          <w:bCs/>
          <w:color w:val="000000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default" w:eastAsia="仿宋"/>
          <w:b/>
          <w:bCs/>
          <w:color w:val="00000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ind w:firstLine="600"/>
        <w:rPr>
          <w:rFonts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本报告真实、可靠，如报告中的信息与实际情况不符，本企业将承担相应的法律责任。</w:t>
      </w:r>
    </w:p>
    <w:p>
      <w:pPr>
        <w:autoSpaceDE w:val="0"/>
        <w:autoSpaceDN w:val="0"/>
        <w:adjustRightInd w:val="0"/>
        <w:ind w:firstLine="600"/>
        <w:rPr>
          <w:rFonts w:ascii="仿宋" w:hAnsi="仿宋" w:eastAsia="仿宋" w:cs="仿宋_GB2312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ind w:firstLine="600"/>
        <w:rPr>
          <w:rFonts w:ascii="仿宋" w:hAnsi="仿宋" w:eastAsia="仿宋" w:cs="仿宋_GB2312"/>
          <w:kern w:val="0"/>
          <w:sz w:val="30"/>
          <w:szCs w:val="30"/>
        </w:rPr>
      </w:pPr>
    </w:p>
    <w:p>
      <w:pPr>
        <w:wordWrap w:val="0"/>
        <w:autoSpaceDE w:val="0"/>
        <w:autoSpaceDN w:val="0"/>
        <w:adjustRightInd w:val="0"/>
        <w:ind w:firstLine="600"/>
        <w:jc w:val="right"/>
        <w:rPr>
          <w:rFonts w:hint="default" w:ascii="仿宋" w:hAnsi="仿宋" w:eastAsia="仿宋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法人(签字):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 xml:space="preserve">            </w:t>
      </w:r>
    </w:p>
    <w:p>
      <w:pPr>
        <w:autoSpaceDE w:val="0"/>
        <w:autoSpaceDN w:val="0"/>
        <w:adjustRightInd w:val="0"/>
        <w:ind w:right="450" w:firstLine="600"/>
        <w:jc w:val="right"/>
        <w:rPr>
          <w:rFonts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20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年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月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日</w:t>
      </w:r>
    </w:p>
    <w:p>
      <w:pPr>
        <w:spacing w:line="360" w:lineRule="auto"/>
        <w:ind w:firstLine="5040" w:firstLineChars="2100"/>
        <w:rPr>
          <w:rFonts w:eastAsia="仿宋"/>
          <w:color w:val="000000"/>
          <w:sz w:val="24"/>
          <w:szCs w:val="24"/>
        </w:rPr>
      </w:pPr>
    </w:p>
    <w:p>
      <w:pPr>
        <w:spacing w:line="360" w:lineRule="auto"/>
        <w:jc w:val="center"/>
        <w:rPr>
          <w:rFonts w:eastAsia="仿宋"/>
          <w:color w:val="000000"/>
          <w:sz w:val="24"/>
          <w:szCs w:val="24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eastAsia="仿宋"/>
          <w:color w:val="000000"/>
          <w:sz w:val="24"/>
          <w:szCs w:val="24"/>
        </w:rPr>
        <w:br w:type="page"/>
      </w:r>
    </w:p>
    <w:p>
      <w:pPr>
        <w:autoSpaceDE w:val="0"/>
        <w:autoSpaceDN w:val="0"/>
        <w:adjustRightInd w:val="0"/>
        <w:rPr>
          <w:rFonts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附表1报告主体二氧化碳排放量报告</w:t>
      </w:r>
    </w:p>
    <w:p>
      <w:pPr>
        <w:autoSpaceDE w:val="0"/>
        <w:autoSpaceDN w:val="0"/>
        <w:adjustRightInd w:val="0"/>
        <w:rPr>
          <w:rFonts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附表2报告主体活动水平数据</w:t>
      </w:r>
    </w:p>
    <w:p>
      <w:pPr>
        <w:autoSpaceDE w:val="0"/>
        <w:autoSpaceDN w:val="0"/>
        <w:adjustRightInd w:val="0"/>
        <w:rPr>
          <w:rFonts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附表3报告主体排放因子和计算系数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_GB2312"/>
          <w:b/>
          <w:kern w:val="0"/>
          <w:sz w:val="30"/>
          <w:szCs w:val="30"/>
        </w:rPr>
      </w:pPr>
      <w:r>
        <w:rPr>
          <w:rFonts w:ascii="仿宋" w:hAnsi="仿宋" w:eastAsia="仿宋" w:cs="仿宋_GB2312"/>
          <w:b/>
          <w:kern w:val="0"/>
          <w:sz w:val="30"/>
          <w:szCs w:val="30"/>
        </w:rPr>
        <w:br w:type="page"/>
      </w:r>
      <w:r>
        <w:rPr>
          <w:rFonts w:hint="eastAsia" w:ascii="仿宋" w:hAnsi="仿宋" w:eastAsia="仿宋" w:cs="仿宋_GB2312"/>
          <w:b/>
          <w:kern w:val="0"/>
          <w:sz w:val="30"/>
          <w:szCs w:val="30"/>
        </w:rPr>
        <w:t>附表</w:t>
      </w:r>
      <w:r>
        <w:rPr>
          <w:rFonts w:ascii="仿宋" w:hAnsi="仿宋" w:eastAsia="仿宋"/>
          <w:b/>
          <w:kern w:val="0"/>
          <w:sz w:val="30"/>
          <w:szCs w:val="30"/>
        </w:rPr>
        <w:t>1</w:t>
      </w:r>
      <w:r>
        <w:rPr>
          <w:rFonts w:hint="eastAsia" w:ascii="仿宋" w:hAnsi="仿宋" w:eastAsia="仿宋" w:cs="仿宋_GB2312"/>
          <w:b/>
          <w:kern w:val="0"/>
          <w:sz w:val="30"/>
          <w:szCs w:val="30"/>
        </w:rPr>
        <w:t>报告主体二氧化碳排放量报告</w:t>
      </w:r>
    </w:p>
    <w:tbl>
      <w:tblPr>
        <w:tblStyle w:val="9"/>
        <w:tblW w:w="9196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372"/>
        <w:gridCol w:w="2824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9" w:hRule="atLeast"/>
        </w:trPr>
        <w:tc>
          <w:tcPr>
            <w:tcW w:w="6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企业二氧化碳排放总量（tCO</w:t>
            </w:r>
            <w:r>
              <w:rPr>
                <w:rFonts w:ascii="仿宋" w:hAnsi="仿宋" w:eastAsia="仿宋"/>
                <w:sz w:val="24"/>
                <w:vertAlign w:val="subscript"/>
              </w:rPr>
              <w:t>2</w:t>
            </w:r>
            <w:r>
              <w:rPr>
                <w:rFonts w:ascii="仿宋" w:hAnsi="仿宋" w:eastAsia="仿宋"/>
                <w:sz w:val="24"/>
              </w:rPr>
              <w:t>）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2"/>
                <w:lang w:val="en-US" w:eastAsia="zh-CN"/>
              </w:rPr>
              <w:t>8778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4" w:hRule="atLeast"/>
        </w:trPr>
        <w:tc>
          <w:tcPr>
            <w:tcW w:w="6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ascii="仿宋" w:hAnsi="仿宋" w:eastAsia="仿宋"/>
                <w:sz w:val="24"/>
                <w:szCs w:val="24"/>
              </w:rPr>
              <w:t>化石燃料燃烧排放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6503.08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0" w:hRule="atLeast"/>
        </w:trPr>
        <w:tc>
          <w:tcPr>
            <w:tcW w:w="63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生产</w:t>
            </w:r>
            <w:r>
              <w:rPr>
                <w:rFonts w:ascii="仿宋" w:hAnsi="仿宋" w:eastAsia="仿宋"/>
                <w:sz w:val="24"/>
                <w:szCs w:val="24"/>
              </w:rPr>
              <w:t>过程CO</w:t>
            </w:r>
            <w:r>
              <w:rPr>
                <w:rFonts w:ascii="仿宋" w:hAnsi="仿宋" w:eastAsia="仿宋"/>
                <w:sz w:val="24"/>
                <w:szCs w:val="24"/>
                <w:vertAlign w:val="subscript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排放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-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7" w:hRule="atLeast"/>
        </w:trPr>
        <w:tc>
          <w:tcPr>
            <w:tcW w:w="6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CO</w:t>
            </w:r>
            <w:r>
              <w:rPr>
                <w:rFonts w:hint="eastAsia" w:ascii="仿宋" w:hAnsi="仿宋" w:eastAsia="仿宋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回收量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-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9" w:hRule="atLeast"/>
        </w:trPr>
        <w:tc>
          <w:tcPr>
            <w:tcW w:w="6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4.</w:t>
            </w:r>
            <w:r>
              <w:rPr>
                <w:rFonts w:ascii="仿宋" w:hAnsi="仿宋" w:eastAsia="仿宋"/>
                <w:sz w:val="24"/>
                <w:szCs w:val="24"/>
              </w:rPr>
              <w:t>净购入电力、热力产生的排放量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2275.31</w:t>
            </w:r>
          </w:p>
        </w:tc>
      </w:tr>
    </w:tbl>
    <w:p>
      <w:pPr>
        <w:autoSpaceDE w:val="0"/>
        <w:autoSpaceDN w:val="0"/>
        <w:adjustRightInd w:val="0"/>
        <w:rPr>
          <w:rFonts w:ascii="仿宋" w:hAnsi="仿宋" w:eastAsia="仿宋" w:cs="仿宋_GB2312"/>
          <w:b/>
          <w:kern w:val="0"/>
          <w:sz w:val="30"/>
          <w:szCs w:val="30"/>
        </w:rPr>
      </w:pPr>
      <w:r>
        <w:rPr>
          <w:rFonts w:ascii="仿宋" w:hAnsi="仿宋" w:eastAsia="仿宋" w:cs="仿宋_GB2312"/>
          <w:kern w:val="0"/>
          <w:sz w:val="30"/>
          <w:szCs w:val="30"/>
        </w:rPr>
        <w:br w:type="page"/>
      </w:r>
      <w:r>
        <w:rPr>
          <w:rFonts w:hint="eastAsia" w:ascii="仿宋" w:hAnsi="仿宋" w:eastAsia="仿宋" w:cs="仿宋_GB2312"/>
          <w:b/>
          <w:kern w:val="0"/>
          <w:sz w:val="30"/>
          <w:szCs w:val="30"/>
        </w:rPr>
        <w:t>附表</w:t>
      </w:r>
      <w:r>
        <w:rPr>
          <w:rFonts w:ascii="仿宋" w:hAnsi="仿宋" w:eastAsia="仿宋"/>
          <w:b/>
          <w:kern w:val="0"/>
          <w:sz w:val="30"/>
          <w:szCs w:val="30"/>
        </w:rPr>
        <w:t>2</w:t>
      </w:r>
      <w:r>
        <w:rPr>
          <w:rFonts w:hint="eastAsia" w:ascii="仿宋" w:hAnsi="仿宋" w:eastAsia="仿宋" w:cs="仿宋_GB2312"/>
          <w:b/>
          <w:kern w:val="0"/>
          <w:sz w:val="30"/>
          <w:szCs w:val="30"/>
        </w:rPr>
        <w:t>报告主体活动水平数据</w:t>
      </w:r>
    </w:p>
    <w:tbl>
      <w:tblPr>
        <w:tblStyle w:val="9"/>
        <w:tblpPr w:leftFromText="180" w:rightFromText="180" w:vertAnchor="text" w:horzAnchor="margin" w:tblpXSpec="center" w:tblpY="68"/>
        <w:tblOverlap w:val="never"/>
        <w:tblW w:w="8931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870"/>
        <w:gridCol w:w="2353"/>
        <w:gridCol w:w="2354"/>
        <w:gridCol w:w="2354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排放源类别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燃料类别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净消耗量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（t，万Nm</w:t>
            </w:r>
            <w:r>
              <w:rPr>
                <w:rFonts w:ascii="仿宋" w:hAnsi="仿宋" w:eastAsia="仿宋"/>
                <w:color w:val="000000"/>
                <w:sz w:val="24"/>
                <w:vertAlign w:val="superscript"/>
              </w:rPr>
              <w:t>3</w:t>
            </w:r>
            <w:r>
              <w:rPr>
                <w:rFonts w:ascii="仿宋" w:hAnsi="仿宋" w:eastAsia="仿宋"/>
                <w:color w:val="000000"/>
                <w:sz w:val="24"/>
              </w:rPr>
              <w:t>)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低位发热量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（GJ/万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Nm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ascii="仿宋" w:hAnsi="仿宋" w:eastAsia="仿宋"/>
                <w:color w:val="00000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燃料燃烧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天然气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32"/>
                <w:lang w:val="en-US" w:eastAsia="zh-CN"/>
              </w:rPr>
              <w:t>300.7638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389.31</w:t>
            </w:r>
          </w:p>
        </w:tc>
      </w:tr>
    </w:tbl>
    <w:p>
      <w:pPr>
        <w:autoSpaceDE w:val="0"/>
        <w:autoSpaceDN w:val="0"/>
        <w:adjustRightInd w:val="0"/>
        <w:rPr>
          <w:rFonts w:ascii="仿宋" w:hAnsi="仿宋" w:eastAsia="仿宋" w:cs="仿宋_GB2312"/>
          <w:kern w:val="0"/>
          <w:sz w:val="30"/>
          <w:szCs w:val="30"/>
        </w:rPr>
      </w:pPr>
    </w:p>
    <w:tbl>
      <w:tblPr>
        <w:tblStyle w:val="9"/>
        <w:tblW w:w="90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2693"/>
        <w:gridCol w:w="3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净购入使用的电力及热力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排放类型</w:t>
            </w:r>
          </w:p>
        </w:tc>
        <w:tc>
          <w:tcPr>
            <w:tcW w:w="34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数据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净购入电力（MWh）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32"/>
                <w:lang w:val="en-US" w:eastAsia="zh-CN" w:bidi="ar-SA"/>
              </w:rPr>
              <w:t>4328.154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净购入热力（GJ）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</w:tr>
    </w:tbl>
    <w:p>
      <w:pPr>
        <w:rPr>
          <w:rFonts w:hint="eastAsia" w:ascii="仿宋" w:hAnsi="仿宋" w:eastAsia="仿宋" w:cs="仿宋_GB2312"/>
          <w:b/>
          <w:kern w:val="0"/>
          <w:sz w:val="30"/>
          <w:szCs w:val="30"/>
        </w:rPr>
      </w:pPr>
    </w:p>
    <w:p>
      <w:pPr>
        <w:rPr>
          <w:rFonts w:hint="eastAsia" w:ascii="仿宋" w:hAnsi="仿宋" w:eastAsia="仿宋" w:cs="仿宋_GB2312"/>
          <w:b/>
          <w:kern w:val="0"/>
          <w:sz w:val="30"/>
          <w:szCs w:val="30"/>
        </w:rPr>
      </w:pPr>
    </w:p>
    <w:p>
      <w:pPr>
        <w:rPr>
          <w:rFonts w:hint="eastAsia" w:ascii="仿宋" w:hAnsi="仿宋" w:eastAsia="仿宋" w:cs="仿宋_GB2312"/>
          <w:b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/>
          <w:kern w:val="0"/>
          <w:sz w:val="30"/>
          <w:szCs w:val="30"/>
        </w:rPr>
        <w:br w:type="page"/>
      </w:r>
    </w:p>
    <w:p>
      <w:pPr>
        <w:rPr>
          <w:rFonts w:ascii="仿宋" w:hAnsi="仿宋" w:eastAsia="仿宋" w:cs="仿宋_GB2312"/>
          <w:b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/>
          <w:kern w:val="0"/>
          <w:sz w:val="30"/>
          <w:szCs w:val="30"/>
        </w:rPr>
        <w:t>附表</w:t>
      </w:r>
      <w:r>
        <w:rPr>
          <w:rFonts w:ascii="仿宋" w:hAnsi="仿宋" w:eastAsia="仿宋"/>
          <w:b/>
          <w:kern w:val="0"/>
          <w:sz w:val="30"/>
          <w:szCs w:val="30"/>
        </w:rPr>
        <w:t>3</w:t>
      </w:r>
      <w:r>
        <w:rPr>
          <w:rFonts w:hint="eastAsia" w:ascii="仿宋" w:hAnsi="仿宋" w:eastAsia="仿宋" w:cs="仿宋_GB2312"/>
          <w:b/>
          <w:kern w:val="0"/>
          <w:sz w:val="30"/>
          <w:szCs w:val="30"/>
        </w:rPr>
        <w:t>报告主体排放因子和计算系数</w:t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10"/>
        <w:gridCol w:w="2104"/>
        <w:gridCol w:w="1841"/>
        <w:gridCol w:w="2927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排放源类别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燃料类别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单位热值含碳量</w:t>
            </w:r>
            <w:r>
              <w:rPr>
                <w:rFonts w:ascii="仿宋" w:hAnsi="仿宋" w:eastAsia="仿宋"/>
                <w:color w:val="000000"/>
                <w:sz w:val="24"/>
              </w:rPr>
              <w:br w:type="textWrapping"/>
            </w:r>
            <w:r>
              <w:rPr>
                <w:rFonts w:ascii="仿宋" w:hAnsi="仿宋" w:eastAsia="仿宋"/>
                <w:color w:val="000000"/>
                <w:sz w:val="24"/>
              </w:rPr>
              <w:t>（tC/tJ）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碳氧化率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燃料燃烧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lang w:val="en-US" w:eastAsia="zh-CN"/>
              </w:rPr>
              <w:t>天然气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lang w:val="en-US" w:eastAsia="zh-CN"/>
              </w:rPr>
              <w:t>15.30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99%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净购入电力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排放因子</w:t>
            </w:r>
          </w:p>
        </w:tc>
        <w:tc>
          <w:tcPr>
            <w:tcW w:w="476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单位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0.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5257</w:t>
            </w:r>
          </w:p>
        </w:tc>
        <w:tc>
          <w:tcPr>
            <w:tcW w:w="4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tCO</w:t>
            </w:r>
            <w:r>
              <w:rPr>
                <w:rFonts w:ascii="仿宋" w:hAnsi="仿宋" w:eastAsia="仿宋"/>
                <w:color w:val="000000"/>
                <w:sz w:val="24"/>
                <w:vertAlign w:val="subscript"/>
              </w:rPr>
              <w:t>2</w:t>
            </w:r>
            <w:r>
              <w:rPr>
                <w:rFonts w:ascii="仿宋" w:hAnsi="仿宋" w:eastAsia="仿宋"/>
                <w:color w:val="000000"/>
                <w:sz w:val="24"/>
              </w:rPr>
              <w:t>/MWh</w:t>
            </w:r>
          </w:p>
        </w:tc>
      </w:tr>
    </w:tbl>
    <w:p/>
    <w:p>
      <w:pPr>
        <w:rPr>
          <w:rFonts w:ascii="Times New Roman" w:eastAsia="仿宋" w:cs="Times New Roman"/>
          <w:b/>
        </w:rPr>
      </w:pPr>
    </w:p>
    <w:sectPr>
      <w:pgSz w:w="11906" w:h="16838"/>
      <w:pgMar w:top="1440" w:right="1803" w:bottom="1440" w:left="1803" w:header="851" w:footer="567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60975D"/>
    <w:multiLevelType w:val="singleLevel"/>
    <w:tmpl w:val="FA60975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31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3AD"/>
    <w:rsid w:val="00006627"/>
    <w:rsid w:val="0002077B"/>
    <w:rsid w:val="00025EC4"/>
    <w:rsid w:val="000315D8"/>
    <w:rsid w:val="0003289A"/>
    <w:rsid w:val="000433CA"/>
    <w:rsid w:val="00064727"/>
    <w:rsid w:val="000712F6"/>
    <w:rsid w:val="00075095"/>
    <w:rsid w:val="000811C8"/>
    <w:rsid w:val="0008284C"/>
    <w:rsid w:val="000B1AAC"/>
    <w:rsid w:val="000E0F8E"/>
    <w:rsid w:val="000E6947"/>
    <w:rsid w:val="000F5BDA"/>
    <w:rsid w:val="00107EA9"/>
    <w:rsid w:val="00124473"/>
    <w:rsid w:val="00124E98"/>
    <w:rsid w:val="00136358"/>
    <w:rsid w:val="00150CF3"/>
    <w:rsid w:val="00172A27"/>
    <w:rsid w:val="001810BA"/>
    <w:rsid w:val="00191A8C"/>
    <w:rsid w:val="00193F90"/>
    <w:rsid w:val="001B22C1"/>
    <w:rsid w:val="001B601B"/>
    <w:rsid w:val="001C49BE"/>
    <w:rsid w:val="001E1874"/>
    <w:rsid w:val="0022434C"/>
    <w:rsid w:val="00225E29"/>
    <w:rsid w:val="00235DFB"/>
    <w:rsid w:val="0024175C"/>
    <w:rsid w:val="00251682"/>
    <w:rsid w:val="00251960"/>
    <w:rsid w:val="0028219E"/>
    <w:rsid w:val="0028549E"/>
    <w:rsid w:val="002871DD"/>
    <w:rsid w:val="002904AC"/>
    <w:rsid w:val="002B6316"/>
    <w:rsid w:val="002C0C8E"/>
    <w:rsid w:val="002D7997"/>
    <w:rsid w:val="002F47B4"/>
    <w:rsid w:val="003032FE"/>
    <w:rsid w:val="003033BF"/>
    <w:rsid w:val="00306FA7"/>
    <w:rsid w:val="0031446F"/>
    <w:rsid w:val="00326FDF"/>
    <w:rsid w:val="00330D9B"/>
    <w:rsid w:val="003325D4"/>
    <w:rsid w:val="0033744C"/>
    <w:rsid w:val="00337698"/>
    <w:rsid w:val="00347303"/>
    <w:rsid w:val="00370111"/>
    <w:rsid w:val="00370B31"/>
    <w:rsid w:val="00386A22"/>
    <w:rsid w:val="00394174"/>
    <w:rsid w:val="003A0AE8"/>
    <w:rsid w:val="003A3E87"/>
    <w:rsid w:val="003C3BB2"/>
    <w:rsid w:val="003C4D69"/>
    <w:rsid w:val="003D4FD6"/>
    <w:rsid w:val="003E38B5"/>
    <w:rsid w:val="003F1A0D"/>
    <w:rsid w:val="003F3A94"/>
    <w:rsid w:val="004018EF"/>
    <w:rsid w:val="00401ADB"/>
    <w:rsid w:val="00402D18"/>
    <w:rsid w:val="004265C5"/>
    <w:rsid w:val="00464A1A"/>
    <w:rsid w:val="00471049"/>
    <w:rsid w:val="00472A20"/>
    <w:rsid w:val="00483906"/>
    <w:rsid w:val="0049134A"/>
    <w:rsid w:val="00492419"/>
    <w:rsid w:val="00495756"/>
    <w:rsid w:val="0049613D"/>
    <w:rsid w:val="004B0A78"/>
    <w:rsid w:val="004B2F85"/>
    <w:rsid w:val="004D69F5"/>
    <w:rsid w:val="004E3486"/>
    <w:rsid w:val="004E37DF"/>
    <w:rsid w:val="004E768F"/>
    <w:rsid w:val="004F1AD5"/>
    <w:rsid w:val="004F22A1"/>
    <w:rsid w:val="004F4A87"/>
    <w:rsid w:val="00504532"/>
    <w:rsid w:val="00514AF5"/>
    <w:rsid w:val="00526EDE"/>
    <w:rsid w:val="0055010D"/>
    <w:rsid w:val="00564E86"/>
    <w:rsid w:val="0057494E"/>
    <w:rsid w:val="00576891"/>
    <w:rsid w:val="00583E65"/>
    <w:rsid w:val="0058699F"/>
    <w:rsid w:val="005C7D39"/>
    <w:rsid w:val="005D03A1"/>
    <w:rsid w:val="005D2694"/>
    <w:rsid w:val="005D5454"/>
    <w:rsid w:val="005E6D03"/>
    <w:rsid w:val="005F03D9"/>
    <w:rsid w:val="005F2E6F"/>
    <w:rsid w:val="00611FDE"/>
    <w:rsid w:val="00612EC8"/>
    <w:rsid w:val="00616415"/>
    <w:rsid w:val="00616D47"/>
    <w:rsid w:val="00621E42"/>
    <w:rsid w:val="00622D9A"/>
    <w:rsid w:val="00630D75"/>
    <w:rsid w:val="00630F2F"/>
    <w:rsid w:val="006312A4"/>
    <w:rsid w:val="006319BC"/>
    <w:rsid w:val="006363CB"/>
    <w:rsid w:val="00653F87"/>
    <w:rsid w:val="00682645"/>
    <w:rsid w:val="00690489"/>
    <w:rsid w:val="0069115C"/>
    <w:rsid w:val="006A2385"/>
    <w:rsid w:val="006B347A"/>
    <w:rsid w:val="006C0A79"/>
    <w:rsid w:val="006C6137"/>
    <w:rsid w:val="006D6669"/>
    <w:rsid w:val="006F0191"/>
    <w:rsid w:val="006F151B"/>
    <w:rsid w:val="006F6DF1"/>
    <w:rsid w:val="00707FBF"/>
    <w:rsid w:val="0075774E"/>
    <w:rsid w:val="007642B4"/>
    <w:rsid w:val="00774955"/>
    <w:rsid w:val="007877F8"/>
    <w:rsid w:val="00792F85"/>
    <w:rsid w:val="007A4F6E"/>
    <w:rsid w:val="007A50A8"/>
    <w:rsid w:val="007A5401"/>
    <w:rsid w:val="007B31B1"/>
    <w:rsid w:val="007E1E41"/>
    <w:rsid w:val="008162C7"/>
    <w:rsid w:val="008379DA"/>
    <w:rsid w:val="008423ED"/>
    <w:rsid w:val="00852057"/>
    <w:rsid w:val="00852C93"/>
    <w:rsid w:val="00856C67"/>
    <w:rsid w:val="00884D1B"/>
    <w:rsid w:val="008921A7"/>
    <w:rsid w:val="00895010"/>
    <w:rsid w:val="00897D40"/>
    <w:rsid w:val="008A2340"/>
    <w:rsid w:val="008A3ED4"/>
    <w:rsid w:val="008A633F"/>
    <w:rsid w:val="008B40FD"/>
    <w:rsid w:val="008C3C1E"/>
    <w:rsid w:val="008C43A2"/>
    <w:rsid w:val="008F5CE0"/>
    <w:rsid w:val="0090007E"/>
    <w:rsid w:val="00921936"/>
    <w:rsid w:val="009219BF"/>
    <w:rsid w:val="009250E7"/>
    <w:rsid w:val="009357B6"/>
    <w:rsid w:val="00941BD9"/>
    <w:rsid w:val="00953A09"/>
    <w:rsid w:val="00954817"/>
    <w:rsid w:val="00972626"/>
    <w:rsid w:val="00977E9A"/>
    <w:rsid w:val="009869F2"/>
    <w:rsid w:val="009945E6"/>
    <w:rsid w:val="009968E1"/>
    <w:rsid w:val="00996E40"/>
    <w:rsid w:val="009A0940"/>
    <w:rsid w:val="009B73CC"/>
    <w:rsid w:val="009C382A"/>
    <w:rsid w:val="009D0CE9"/>
    <w:rsid w:val="009F0819"/>
    <w:rsid w:val="00A073CD"/>
    <w:rsid w:val="00A24175"/>
    <w:rsid w:val="00A306A6"/>
    <w:rsid w:val="00A341FB"/>
    <w:rsid w:val="00A35A02"/>
    <w:rsid w:val="00A462B4"/>
    <w:rsid w:val="00A47DFD"/>
    <w:rsid w:val="00A937B7"/>
    <w:rsid w:val="00AB0032"/>
    <w:rsid w:val="00AC1B27"/>
    <w:rsid w:val="00AC64DD"/>
    <w:rsid w:val="00AE4EA7"/>
    <w:rsid w:val="00AF4D05"/>
    <w:rsid w:val="00B07AB7"/>
    <w:rsid w:val="00B16FAB"/>
    <w:rsid w:val="00B20291"/>
    <w:rsid w:val="00B64B3D"/>
    <w:rsid w:val="00B95275"/>
    <w:rsid w:val="00B95BE8"/>
    <w:rsid w:val="00BA1791"/>
    <w:rsid w:val="00BB607F"/>
    <w:rsid w:val="00BB6113"/>
    <w:rsid w:val="00BD18FB"/>
    <w:rsid w:val="00C137A9"/>
    <w:rsid w:val="00C156B8"/>
    <w:rsid w:val="00C156F7"/>
    <w:rsid w:val="00C26F03"/>
    <w:rsid w:val="00C34F39"/>
    <w:rsid w:val="00C54FBC"/>
    <w:rsid w:val="00C614D9"/>
    <w:rsid w:val="00C82A7E"/>
    <w:rsid w:val="00C978A0"/>
    <w:rsid w:val="00CA232A"/>
    <w:rsid w:val="00CB0B31"/>
    <w:rsid w:val="00CC76D9"/>
    <w:rsid w:val="00CC77CE"/>
    <w:rsid w:val="00CD6744"/>
    <w:rsid w:val="00CE0C81"/>
    <w:rsid w:val="00CE0CE5"/>
    <w:rsid w:val="00CF13CB"/>
    <w:rsid w:val="00CF17F0"/>
    <w:rsid w:val="00D04660"/>
    <w:rsid w:val="00D05B0B"/>
    <w:rsid w:val="00D200FA"/>
    <w:rsid w:val="00D21D1F"/>
    <w:rsid w:val="00D26B27"/>
    <w:rsid w:val="00D3188B"/>
    <w:rsid w:val="00D347AD"/>
    <w:rsid w:val="00D367DD"/>
    <w:rsid w:val="00D44CA9"/>
    <w:rsid w:val="00D71961"/>
    <w:rsid w:val="00D73C85"/>
    <w:rsid w:val="00D758E5"/>
    <w:rsid w:val="00D83E5A"/>
    <w:rsid w:val="00D94407"/>
    <w:rsid w:val="00DC099E"/>
    <w:rsid w:val="00DD0BD1"/>
    <w:rsid w:val="00DD4A99"/>
    <w:rsid w:val="00DD59B8"/>
    <w:rsid w:val="00DE7617"/>
    <w:rsid w:val="00E30F8E"/>
    <w:rsid w:val="00E40CF4"/>
    <w:rsid w:val="00E46472"/>
    <w:rsid w:val="00E55A9C"/>
    <w:rsid w:val="00E8180F"/>
    <w:rsid w:val="00E97D1D"/>
    <w:rsid w:val="00EB3615"/>
    <w:rsid w:val="00EC6396"/>
    <w:rsid w:val="00ED79F0"/>
    <w:rsid w:val="00EE68F3"/>
    <w:rsid w:val="00EF5DA5"/>
    <w:rsid w:val="00F03BE0"/>
    <w:rsid w:val="00F142AF"/>
    <w:rsid w:val="00F1502A"/>
    <w:rsid w:val="00F20B6F"/>
    <w:rsid w:val="00F24E27"/>
    <w:rsid w:val="00F252F4"/>
    <w:rsid w:val="00F36548"/>
    <w:rsid w:val="00F37344"/>
    <w:rsid w:val="00F701DB"/>
    <w:rsid w:val="00F82E37"/>
    <w:rsid w:val="00F95937"/>
    <w:rsid w:val="00F97300"/>
    <w:rsid w:val="00FE0708"/>
    <w:rsid w:val="00FE110E"/>
    <w:rsid w:val="00FE1237"/>
    <w:rsid w:val="00FE623A"/>
    <w:rsid w:val="00FE6FF4"/>
    <w:rsid w:val="00FF24F3"/>
    <w:rsid w:val="072D6C95"/>
    <w:rsid w:val="0A546CFD"/>
    <w:rsid w:val="0A573505"/>
    <w:rsid w:val="0AEF1993"/>
    <w:rsid w:val="10FF266F"/>
    <w:rsid w:val="122C565F"/>
    <w:rsid w:val="12965F05"/>
    <w:rsid w:val="192075B9"/>
    <w:rsid w:val="1C442E6B"/>
    <w:rsid w:val="1E3B545A"/>
    <w:rsid w:val="2009690A"/>
    <w:rsid w:val="20445C54"/>
    <w:rsid w:val="23D941DC"/>
    <w:rsid w:val="28D1770E"/>
    <w:rsid w:val="294272F0"/>
    <w:rsid w:val="29FB11D2"/>
    <w:rsid w:val="2E7D605F"/>
    <w:rsid w:val="3B617677"/>
    <w:rsid w:val="3F3C6A4D"/>
    <w:rsid w:val="40AE1C96"/>
    <w:rsid w:val="45162395"/>
    <w:rsid w:val="48831983"/>
    <w:rsid w:val="4B9E091B"/>
    <w:rsid w:val="4FFB4603"/>
    <w:rsid w:val="510A68E7"/>
    <w:rsid w:val="51227066"/>
    <w:rsid w:val="587924B3"/>
    <w:rsid w:val="587E21BE"/>
    <w:rsid w:val="5890350C"/>
    <w:rsid w:val="5D96372C"/>
    <w:rsid w:val="67675890"/>
    <w:rsid w:val="6BAC1366"/>
    <w:rsid w:val="6CEF01DB"/>
    <w:rsid w:val="6E547C88"/>
    <w:rsid w:val="71313AC1"/>
    <w:rsid w:val="72C84E5C"/>
    <w:rsid w:val="76CA2E72"/>
    <w:rsid w:val="7DFB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qFormat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2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footnote text"/>
    <w:basedOn w:val="1"/>
    <w:link w:val="2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17"/>
    <w:qFormat/>
    <w:uiPriority w:val="0"/>
    <w:rPr>
      <w:b/>
      <w:bCs/>
    </w:rPr>
  </w:style>
  <w:style w:type="table" w:styleId="10">
    <w:name w:val="Table Grid"/>
    <w:basedOn w:val="9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qFormat/>
    <w:uiPriority w:val="0"/>
    <w:rPr>
      <w:sz w:val="21"/>
      <w:szCs w:val="21"/>
    </w:rPr>
  </w:style>
  <w:style w:type="character" w:styleId="13">
    <w:name w:val="footnote reference"/>
    <w:semiHidden/>
    <w:unhideWhenUsed/>
    <w:qFormat/>
    <w:uiPriority w:val="99"/>
    <w:rPr>
      <w:vertAlign w:val="superscript"/>
    </w:rPr>
  </w:style>
  <w:style w:type="character" w:customStyle="1" w:styleId="14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5">
    <w:name w:val="段 Char Char"/>
    <w:link w:val="16"/>
    <w:qFormat/>
    <w:uiPriority w:val="0"/>
    <w:rPr>
      <w:rFonts w:ascii="宋体" w:hAnsi="Calibri"/>
      <w:kern w:val="2"/>
      <w:sz w:val="21"/>
      <w:szCs w:val="22"/>
      <w:lang w:val="en-US" w:eastAsia="zh-CN" w:bidi="ar-SA"/>
    </w:rPr>
  </w:style>
  <w:style w:type="paragraph" w:customStyle="1" w:styleId="16">
    <w:name w:val="段"/>
    <w:link w:val="15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批注主题 Char"/>
    <w:link w:val="8"/>
    <w:qFormat/>
    <w:uiPriority w:val="0"/>
    <w:rPr>
      <w:b/>
      <w:bCs/>
      <w:kern w:val="2"/>
      <w:sz w:val="21"/>
      <w:szCs w:val="22"/>
    </w:rPr>
  </w:style>
  <w:style w:type="character" w:customStyle="1" w:styleId="18">
    <w:name w:val="页脚 Char"/>
    <w:link w:val="4"/>
    <w:qFormat/>
    <w:uiPriority w:val="99"/>
    <w:rPr>
      <w:kern w:val="2"/>
      <w:sz w:val="18"/>
      <w:szCs w:val="22"/>
    </w:rPr>
  </w:style>
  <w:style w:type="character" w:customStyle="1" w:styleId="19">
    <w:name w:val="批注文字 Char"/>
    <w:link w:val="2"/>
    <w:qFormat/>
    <w:uiPriority w:val="0"/>
    <w:rPr>
      <w:kern w:val="2"/>
      <w:sz w:val="21"/>
      <w:szCs w:val="22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21">
    <w:name w:val="脚注文本 Char"/>
    <w:link w:val="6"/>
    <w:semiHidden/>
    <w:qFormat/>
    <w:uiPriority w:val="99"/>
    <w:rPr>
      <w:kern w:val="2"/>
      <w:sz w:val="18"/>
      <w:szCs w:val="1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23">
    <w:name w:val="页眉 Char"/>
    <w:link w:val="5"/>
    <w:qFormat/>
    <w:uiPriority w:val="0"/>
    <w:rPr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21C4E-E491-42B7-BCF4-81F6699C59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1236</Words>
  <Characters>1455</Characters>
  <Lines>43</Lines>
  <Paragraphs>12</Paragraphs>
  <TotalTime>0</TotalTime>
  <ScaleCrop>false</ScaleCrop>
  <LinksUpToDate>false</LinksUpToDate>
  <CharactersWithSpaces>1471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2019-01-15T08:30:00Z</dcterms:created>
  <dc:creator>Administrator</dc:creator>
  <cp:lastModifiedBy>lg</cp:lastModifiedBy>
  <cp:lastPrinted>2019-04-09T18:55:00Z</cp:lastPrinted>
  <dcterms:modified xsi:type="dcterms:W3CDTF">2022-06-09T09:14:09Z</dcterms:modified>
  <dc:title>中国××企业温室气体排放报告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F2A9182C28234B76BD79E52A017E6F67</vt:lpwstr>
  </property>
</Properties>
</file>