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-1000760</wp:posOffset>
            </wp:positionV>
            <wp:extent cx="7569200" cy="11055985"/>
            <wp:effectExtent l="0" t="0" r="12700" b="12065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105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eastAsia" w:eastAsia="仿宋"/>
          <w:b/>
          <w:color w:val="000000"/>
          <w:sz w:val="44"/>
          <w:szCs w:val="24"/>
        </w:rPr>
      </w:pPr>
      <w:r>
        <w:rPr>
          <w:rFonts w:hint="eastAsia" w:eastAsia="仿宋"/>
          <w:b/>
          <w:color w:val="000000"/>
          <w:sz w:val="44"/>
          <w:szCs w:val="24"/>
        </w:rPr>
        <w:t>中国工业其他行业</w:t>
      </w: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  <w:r>
        <w:rPr>
          <w:rFonts w:eastAsia="仿宋"/>
          <w:b/>
          <w:color w:val="000000"/>
          <w:sz w:val="44"/>
          <w:szCs w:val="24"/>
        </w:rPr>
        <w:t>温室气体排放报告</w:t>
      </w: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eastAsia" w:eastAsia="仿宋"/>
          <w:color w:val="000000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ind w:firstLine="1400" w:firstLineChars="500"/>
        <w:rPr>
          <w:rFonts w:eastAsia="仿宋"/>
          <w:color w:val="000000"/>
          <w:sz w:val="28"/>
          <w:szCs w:val="24"/>
        </w:rPr>
      </w:pPr>
      <w:r>
        <w:rPr>
          <w:rFonts w:eastAsia="仿宋"/>
          <w:color w:val="000000"/>
          <w:sz w:val="28"/>
          <w:szCs w:val="24"/>
        </w:rPr>
        <w:t>报告主体（盖章）：</w:t>
      </w:r>
      <w:r>
        <w:rPr>
          <w:rFonts w:hint="eastAsia" w:eastAsia="仿宋"/>
          <w:color w:val="000000"/>
          <w:sz w:val="28"/>
          <w:szCs w:val="24"/>
          <w:lang w:eastAsia="zh-CN"/>
        </w:rPr>
        <w:t>成都帝龙新材料有限公司</w:t>
      </w:r>
    </w:p>
    <w:p>
      <w:pPr>
        <w:spacing w:line="360" w:lineRule="auto"/>
        <w:ind w:firstLine="1400" w:firstLineChars="500"/>
        <w:rPr>
          <w:rFonts w:eastAsia="仿宋"/>
          <w:color w:val="000000"/>
          <w:sz w:val="28"/>
          <w:szCs w:val="24"/>
        </w:rPr>
      </w:pPr>
      <w:r>
        <w:rPr>
          <w:rFonts w:eastAsia="仿宋"/>
          <w:color w:val="000000"/>
          <w:sz w:val="28"/>
          <w:szCs w:val="24"/>
        </w:rPr>
        <w:t>报告年度：</w:t>
      </w:r>
      <w:r>
        <w:rPr>
          <w:rFonts w:hint="eastAsia" w:eastAsia="仿宋"/>
          <w:color w:val="000000"/>
          <w:sz w:val="28"/>
          <w:szCs w:val="24"/>
          <w:lang w:val="en-US" w:eastAsia="zh-CN"/>
        </w:rPr>
        <w:t>2021</w:t>
      </w:r>
      <w:r>
        <w:rPr>
          <w:rFonts w:eastAsia="仿宋"/>
          <w:color w:val="000000"/>
          <w:sz w:val="28"/>
          <w:szCs w:val="24"/>
        </w:rPr>
        <w:t>年</w:t>
      </w:r>
    </w:p>
    <w:p>
      <w:pPr>
        <w:spacing w:line="360" w:lineRule="auto"/>
        <w:ind w:firstLine="1400" w:firstLineChars="500"/>
        <w:rPr>
          <w:rFonts w:eastAsia="仿宋"/>
          <w:color w:val="000000"/>
          <w:sz w:val="28"/>
          <w:szCs w:val="24"/>
        </w:rPr>
      </w:pPr>
      <w:r>
        <w:rPr>
          <w:rFonts w:eastAsia="仿宋"/>
          <w:color w:val="000000"/>
          <w:sz w:val="28"/>
          <w:szCs w:val="24"/>
        </w:rPr>
        <w:t>报告日期：202</w:t>
      </w:r>
      <w:r>
        <w:rPr>
          <w:rFonts w:hint="eastAsia" w:eastAsia="仿宋"/>
          <w:color w:val="000000"/>
          <w:sz w:val="28"/>
          <w:szCs w:val="24"/>
          <w:lang w:val="en-US" w:eastAsia="zh-CN"/>
        </w:rPr>
        <w:t>2</w:t>
      </w:r>
      <w:r>
        <w:rPr>
          <w:rFonts w:eastAsia="仿宋"/>
          <w:color w:val="000000"/>
          <w:sz w:val="28"/>
          <w:szCs w:val="24"/>
        </w:rPr>
        <w:t>年</w:t>
      </w:r>
      <w:r>
        <w:rPr>
          <w:rFonts w:hint="eastAsia" w:eastAsia="仿宋"/>
          <w:color w:val="000000"/>
          <w:sz w:val="28"/>
          <w:szCs w:val="24"/>
          <w:lang w:val="en-US" w:eastAsia="zh-CN"/>
        </w:rPr>
        <w:t>4</w:t>
      </w:r>
      <w:r>
        <w:rPr>
          <w:rFonts w:eastAsia="仿宋"/>
          <w:color w:val="000000"/>
          <w:sz w:val="28"/>
          <w:szCs w:val="24"/>
        </w:rPr>
        <w:t>月</w:t>
      </w:r>
      <w:r>
        <w:rPr>
          <w:rFonts w:hint="eastAsia" w:eastAsia="仿宋"/>
          <w:color w:val="000000"/>
          <w:sz w:val="28"/>
          <w:szCs w:val="24"/>
          <w:lang w:val="en-US" w:eastAsia="zh-CN"/>
        </w:rPr>
        <w:t>2</w:t>
      </w:r>
      <w:r>
        <w:rPr>
          <w:rFonts w:eastAsia="仿宋"/>
          <w:color w:val="000000"/>
          <w:sz w:val="28"/>
          <w:szCs w:val="24"/>
        </w:rPr>
        <w:t>日</w:t>
      </w:r>
    </w:p>
    <w:p>
      <w:pPr>
        <w:pStyle w:val="20"/>
        <w:spacing w:line="360" w:lineRule="auto"/>
        <w:ind w:firstLine="561"/>
        <w:rPr>
          <w:rFonts w:eastAsia="仿宋"/>
          <w:sz w:val="28"/>
        </w:rPr>
      </w:pPr>
      <w:r>
        <w:rPr>
          <w:rFonts w:ascii="Times New Roman" w:eastAsia="仿宋" w:cs="Times New Roman"/>
        </w:rPr>
        <w:br w:type="page"/>
      </w:r>
      <w:r>
        <w:rPr>
          <w:rFonts w:hint="eastAsia" w:ascii="Times New Roman" w:eastAsia="仿宋" w:cs="Times New Roman"/>
          <w:sz w:val="28"/>
        </w:rPr>
        <w:t>根据国家发展和改革委员会发布的《</w:t>
      </w:r>
      <w:r>
        <w:rPr>
          <w:rFonts w:hint="eastAsia" w:ascii="Times New Roman" w:eastAsia="仿宋" w:cs="Times New Roman"/>
          <w:sz w:val="28"/>
          <w:lang w:eastAsia="zh-CN"/>
        </w:rPr>
        <w:t>工业其他行业企业温室气体排放核算方法与报告指南（试行）</w:t>
      </w:r>
      <w:r>
        <w:rPr>
          <w:rFonts w:hint="eastAsia" w:ascii="Times New Roman" w:eastAsia="仿宋" w:cs="Times New Roman"/>
          <w:sz w:val="28"/>
        </w:rPr>
        <w:t>》，本报告主体核算了</w:t>
      </w:r>
      <w:r>
        <w:rPr>
          <w:rFonts w:hint="eastAsia" w:ascii="Times New Roman" w:eastAsia="仿宋" w:cs="Times New Roman"/>
          <w:sz w:val="28"/>
          <w:lang w:val="en-US" w:eastAsia="zh-CN"/>
        </w:rPr>
        <w:t>2021</w:t>
      </w:r>
      <w:r>
        <w:rPr>
          <w:rFonts w:hint="eastAsia" w:ascii="Times New Roman" w:eastAsia="仿宋" w:cs="Times New Roman"/>
          <w:sz w:val="28"/>
        </w:rPr>
        <w:t>年度温室气体排放量，并填写了相关数据表格。</w:t>
      </w:r>
    </w:p>
    <w:p>
      <w:pPr>
        <w:pStyle w:val="20"/>
        <w:spacing w:line="360" w:lineRule="auto"/>
        <w:ind w:firstLine="561"/>
        <w:rPr>
          <w:rFonts w:eastAsia="仿宋"/>
          <w:sz w:val="28"/>
        </w:rPr>
      </w:pPr>
      <w:r>
        <w:rPr>
          <w:rFonts w:eastAsia="仿宋"/>
          <w:sz w:val="28"/>
        </w:rPr>
        <w:t>现将有关情况报告如下：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企业基本情况</w:t>
      </w:r>
    </w:p>
    <w:tbl>
      <w:tblPr>
        <w:tblStyle w:val="9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成都帝龙新材料有限公司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成都崇州经济开发区世纪大道583号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9151018468902065X1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C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 xml:space="preserve">2239 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其他纸制品制造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报告年度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潘勇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  <w:t>胡小秧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负责人电话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  <w:lang w:val="en-US" w:eastAsia="zh-CN"/>
              </w:rPr>
              <w:t>13730870007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负责人邮箱</w:t>
            </w:r>
          </w:p>
        </w:tc>
        <w:tc>
          <w:tcPr>
            <w:tcW w:w="61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val="en-US" w:eastAsia="zh-CN"/>
              </w:rPr>
              <w:t>511439876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eastAsia="zh-CN"/>
              </w:rPr>
              <w:t>@qq.com</w:t>
            </w:r>
          </w:p>
        </w:tc>
      </w:tr>
    </w:tbl>
    <w:p>
      <w:pPr>
        <w:autoSpaceDE w:val="0"/>
        <w:autoSpaceDN w:val="0"/>
        <w:adjustRightInd w:val="0"/>
        <w:spacing w:before="240"/>
        <w:ind w:firstLine="600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二、温室气体排放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</w:t>
      </w:r>
      <w:r>
        <w:rPr>
          <w:rFonts w:hint="eastAsia" w:ascii="仿宋" w:hAnsi="仿宋" w:eastAsia="仿宋" w:cs="仿宋_GB2312"/>
          <w:kern w:val="0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在本年度核算和报告期内温室气体排放总量为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8778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吨二氧化碳当量。其中化石燃料燃烧排放量为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6503.08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吨二氧化碳当量;净购入使用的电力产生的排放量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为2275.31吨二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氧化碳当量。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/>
        <w:textAlignment w:val="auto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三、活动水平数据及来源说明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/>
        <w:textAlignment w:val="auto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根据《指南》要求，报告主体应报告</w:t>
      </w:r>
      <w:r>
        <w:rPr>
          <w:rFonts w:hint="eastAsia" w:ascii="仿宋" w:hAnsi="仿宋" w:eastAsia="仿宋" w:cs="仿宋_GB2312"/>
          <w:kern w:val="0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所使用的不同品种化石燃料的净消耗量和相应的低位发热值，净购入的电量等活动水平数据以及相关活动水平数据的来源。</w:t>
      </w:r>
    </w:p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根据活动水平数据的获得方法，本报告对活动水平数据的来源进行了分类，其分类方法和说明如下表所示：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活动水平数据来源种类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发票收据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基于财务结算票据上的数据得到的活动水平数据，常见的如用电量数据等。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测量记录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基于连续或者间断的测量数据来得出的活动水平数据。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使用记录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基于现场人员非计量的使用记录得到的活动水平数据。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专家建议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权威专家推荐值或有文献可考的推算值。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自行评估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通过公司内部现场人员的经验估值。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缺省值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采用《指南》上提出的缺省值</w:t>
            </w:r>
          </w:p>
        </w:tc>
      </w:tr>
    </w:tbl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本报告中采用的活动水平数据及来源如下表所示：</w:t>
      </w:r>
    </w:p>
    <w:tbl>
      <w:tblPr>
        <w:tblStyle w:val="9"/>
        <w:tblW w:w="8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35"/>
        <w:gridCol w:w="1425"/>
        <w:gridCol w:w="2195"/>
        <w:gridCol w:w="1841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排放源类别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燃料类别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净消耗量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（万Nm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低位发热（GJ/万立方米）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燃料燃烧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天然气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300.7638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天然气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用量统计表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389.3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缺省值</w:t>
            </w:r>
          </w:p>
        </w:tc>
      </w:tr>
    </w:tbl>
    <w:p>
      <w:pPr>
        <w:autoSpaceDE w:val="0"/>
        <w:autoSpaceDN w:val="0"/>
        <w:adjustRightInd w:val="0"/>
        <w:spacing w:before="240"/>
        <w:rPr>
          <w:rFonts w:ascii="黑体" w:eastAsia="黑体" w:cs="黑体"/>
          <w:kern w:val="0"/>
          <w:sz w:val="30"/>
          <w:szCs w:val="30"/>
        </w:rPr>
      </w:pPr>
    </w:p>
    <w:tbl>
      <w:tblPr>
        <w:tblStyle w:val="9"/>
        <w:tblW w:w="8668" w:type="dxa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668"/>
        <w:gridCol w:w="2563"/>
        <w:gridCol w:w="2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净购入使用的电力</w:t>
            </w:r>
          </w:p>
        </w:tc>
        <w:tc>
          <w:tcPr>
            <w:tcW w:w="1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数据</w:t>
            </w:r>
          </w:p>
        </w:tc>
        <w:tc>
          <w:tcPr>
            <w:tcW w:w="2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MWh</w:t>
            </w:r>
          </w:p>
        </w:tc>
        <w:tc>
          <w:tcPr>
            <w:tcW w:w="2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  <w:t>4328.154</w:t>
            </w:r>
          </w:p>
        </w:tc>
        <w:tc>
          <w:tcPr>
            <w:tcW w:w="2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用电记录统计表</w:t>
            </w:r>
          </w:p>
        </w:tc>
      </w:tr>
    </w:tbl>
    <w:p>
      <w:pPr>
        <w:autoSpaceDE w:val="0"/>
        <w:autoSpaceDN w:val="0"/>
        <w:adjustRightInd w:val="0"/>
        <w:spacing w:before="240"/>
        <w:rPr>
          <w:rFonts w:ascii="黑体" w:eastAsia="黑体" w:cs="黑体"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before="240"/>
        <w:ind w:firstLine="600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四、排放因子数据及来源说明</w:t>
      </w:r>
    </w:p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根据《指南》要求，报告主体应报告消耗的各种化石燃料的单位热值含碳量和碳氧化率，脱硫剂的排放因子，净购入使用电力的排放因子。本报告中采用的排放因子及来源如下表所示：</w:t>
      </w:r>
    </w:p>
    <w:tbl>
      <w:tblPr>
        <w:tblStyle w:val="9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98"/>
        <w:gridCol w:w="1846"/>
        <w:gridCol w:w="1674"/>
        <w:gridCol w:w="1276"/>
        <w:gridCol w:w="1418"/>
        <w:gridCol w:w="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排放源类别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燃料类别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单位热值含碳量</w:t>
            </w:r>
            <w:r>
              <w:rPr>
                <w:rFonts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4"/>
              </w:rPr>
              <w:t>（tC/tJ）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数据来源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碳氧化率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燃料燃烧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天然气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15.3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缺省值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9.0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缺省值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净购入电力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排放因子</w:t>
            </w:r>
          </w:p>
        </w:tc>
        <w:tc>
          <w:tcPr>
            <w:tcW w:w="4368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5257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tCO</w:t>
            </w:r>
            <w:r>
              <w:rPr>
                <w:rFonts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/MWh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缺省值</w:t>
            </w:r>
          </w:p>
        </w:tc>
      </w:tr>
    </w:tbl>
    <w:p>
      <w:pPr>
        <w:autoSpaceDE w:val="0"/>
        <w:autoSpaceDN w:val="0"/>
        <w:adjustRightInd w:val="0"/>
        <w:spacing w:before="240"/>
        <w:ind w:firstLine="600"/>
        <w:rPr>
          <w:rFonts w:hint="eastAsia" w:ascii="黑体" w:hAnsi="Times New Roman" w:eastAsia="黑体" w:cs="黑体"/>
          <w:kern w:val="0"/>
          <w:sz w:val="30"/>
          <w:szCs w:val="30"/>
        </w:rPr>
      </w:pPr>
      <w:r>
        <w:rPr>
          <w:rFonts w:hint="eastAsia" w:ascii="黑体" w:hAnsi="Times New Roman" w:eastAsia="黑体" w:cs="黑体"/>
          <w:kern w:val="0"/>
          <w:sz w:val="30"/>
          <w:szCs w:val="30"/>
        </w:rPr>
        <w:t>五、主要产品列表</w:t>
      </w:r>
    </w:p>
    <w:p>
      <w:pPr>
        <w:pStyle w:val="20"/>
        <w:spacing w:line="360" w:lineRule="auto"/>
        <w:jc w:val="center"/>
        <w:rPr>
          <w:rFonts w:ascii="Times New Roman" w:eastAsia="仿宋" w:cs="Times New Roman"/>
          <w:b/>
          <w:color w:val="auto"/>
        </w:rPr>
      </w:pPr>
      <w:r>
        <w:rPr>
          <w:rFonts w:ascii="Times New Roman" w:eastAsia="仿宋" w:cs="Times New Roman"/>
          <w:b/>
          <w:color w:val="auto"/>
        </w:rPr>
        <w:t>表5-1 主要产品产量表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17"/>
        <w:gridCol w:w="1790"/>
        <w:gridCol w:w="1948"/>
        <w:gridCol w:w="1631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产量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设计产能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装饰板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113.92万张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  <w:t>165万张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折2278.30吨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PVC装饰膜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117.64万米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  <w:t>1056万米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71.06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装饰纸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6985.76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  <w:t>9640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浸渍纸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1292.04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8"/>
                <w:lang w:val="en-US" w:eastAsia="zh-CN"/>
              </w:rPr>
              <w:t>1800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kern w:val="0"/>
                <w:sz w:val="24"/>
                <w:szCs w:val="24"/>
              </w:rPr>
              <w:t>/</w:t>
            </w:r>
          </w:p>
        </w:tc>
      </w:tr>
    </w:tbl>
    <w:p>
      <w:pPr>
        <w:spacing w:before="156" w:beforeLines="50" w:after="156" w:afterLines="50" w:line="360" w:lineRule="auto"/>
        <w:rPr>
          <w:rFonts w:eastAsia="仿宋"/>
          <w:b/>
          <w:color w:val="000000"/>
          <w:sz w:val="24"/>
          <w:szCs w:val="24"/>
        </w:rPr>
        <w:sectPr>
          <w:footerReference r:id="rId4" w:type="default"/>
          <w:headerReference r:id="rId3" w:type="even"/>
          <w:pgSz w:w="11906" w:h="16838"/>
          <w:pgMar w:top="1440" w:right="1800" w:bottom="1440" w:left="1800" w:header="851" w:footer="567" w:gutter="0"/>
          <w:pgNumType w:start="0"/>
          <w:cols w:space="720" w:num="1"/>
          <w:titlePg/>
          <w:docGrid w:type="lines" w:linePitch="312" w:charSpace="0"/>
        </w:sectPr>
      </w:pPr>
    </w:p>
    <w:p>
      <w:pPr>
        <w:rPr>
          <w:rFonts w:eastAsia="仿宋"/>
          <w:b/>
          <w:bCs/>
          <w:color w:val="000000"/>
          <w:sz w:val="24"/>
          <w:szCs w:val="24"/>
        </w:rPr>
      </w:pPr>
      <w:r>
        <w:rPr>
          <w:rFonts w:eastAsia="仿宋"/>
          <w:b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仿宋"/>
          <w:color w:val="000000"/>
          <w:sz w:val="24"/>
          <w:szCs w:val="24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-981075</wp:posOffset>
            </wp:positionV>
            <wp:extent cx="7560310" cy="9991090"/>
            <wp:effectExtent l="0" t="0" r="2540" b="10160"/>
            <wp:wrapNone/>
            <wp:docPr id="1" name="图片 1" descr="1A3AE71C653B2367951DA3C9E0467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3AE71C653B2367951DA3C9E0467A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99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default" w:eastAsia="仿宋"/>
          <w:b/>
          <w:bCs/>
          <w:color w:val="00000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本报告真实、可靠，如报告中的信息与实际情况不符，本企业将承担相应的法律责任。</w:t>
      </w:r>
    </w:p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600"/>
        <w:rPr>
          <w:rFonts w:ascii="仿宋" w:hAnsi="仿宋" w:eastAsia="仿宋" w:cs="仿宋_GB2312"/>
          <w:kern w:val="0"/>
          <w:sz w:val="30"/>
          <w:szCs w:val="30"/>
        </w:rPr>
      </w:pPr>
    </w:p>
    <w:p>
      <w:pPr>
        <w:wordWrap w:val="0"/>
        <w:autoSpaceDE w:val="0"/>
        <w:autoSpaceDN w:val="0"/>
        <w:adjustRightInd w:val="0"/>
        <w:ind w:firstLine="600"/>
        <w:jc w:val="right"/>
        <w:rPr>
          <w:rFonts w:hint="default" w:ascii="仿宋" w:hAnsi="仿宋" w:eastAsia="仿宋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法人(签字):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 xml:space="preserve">            </w:t>
      </w:r>
    </w:p>
    <w:p>
      <w:pPr>
        <w:autoSpaceDE w:val="0"/>
        <w:autoSpaceDN w:val="0"/>
        <w:adjustRightInd w:val="0"/>
        <w:ind w:right="450" w:firstLine="600"/>
        <w:jc w:val="righ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20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p>
      <w:pPr>
        <w:spacing w:line="360" w:lineRule="auto"/>
        <w:ind w:firstLine="5040" w:firstLineChars="2100"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"/>
          <w:color w:val="000000"/>
          <w:sz w:val="24"/>
          <w:szCs w:val="24"/>
        </w:rPr>
        <w:br w:type="page"/>
      </w:r>
    </w:p>
    <w:p>
      <w:pPr>
        <w:autoSpaceDE w:val="0"/>
        <w:autoSpaceDN w:val="0"/>
        <w:adjustRightInd w:val="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附表1报告主体二氧化碳排放量报告</w:t>
      </w:r>
    </w:p>
    <w:p>
      <w:pPr>
        <w:autoSpaceDE w:val="0"/>
        <w:autoSpaceDN w:val="0"/>
        <w:adjustRightInd w:val="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附表2报告主体活动水平数据</w:t>
      </w:r>
    </w:p>
    <w:p>
      <w:pPr>
        <w:autoSpaceDE w:val="0"/>
        <w:autoSpaceDN w:val="0"/>
        <w:adjustRightInd w:val="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附表3报告主体排放因子和计算系数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ascii="仿宋" w:hAnsi="仿宋" w:eastAsia="仿宋" w:cs="仿宋_GB2312"/>
          <w:b/>
          <w:kern w:val="0"/>
          <w:sz w:val="30"/>
          <w:szCs w:val="30"/>
        </w:rPr>
        <w:br w:type="page"/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附表</w:t>
      </w:r>
      <w:r>
        <w:rPr>
          <w:rFonts w:ascii="仿宋" w:hAnsi="仿宋" w:eastAsia="仿宋"/>
          <w:b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报告主体二氧化碳排放量报告</w:t>
      </w:r>
    </w:p>
    <w:tbl>
      <w:tblPr>
        <w:tblStyle w:val="9"/>
        <w:tblW w:w="919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72"/>
        <w:gridCol w:w="282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9" w:hRule="atLeast"/>
        </w:trPr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企业二氧化碳排放总量（tCO</w:t>
            </w:r>
            <w:r>
              <w:rPr>
                <w:rFonts w:ascii="仿宋" w:hAnsi="仿宋" w:eastAsia="仿宋"/>
                <w:sz w:val="24"/>
                <w:vertAlign w:val="subscript"/>
              </w:rPr>
              <w:t>2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:lang w:val="en-US" w:eastAsia="zh-CN"/>
              </w:rPr>
              <w:t>8778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</w:trPr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化石燃料燃烧排放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6503.08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生产</w:t>
            </w:r>
            <w:r>
              <w:rPr>
                <w:rFonts w:ascii="仿宋" w:hAnsi="仿宋" w:eastAsia="仿宋"/>
                <w:sz w:val="24"/>
                <w:szCs w:val="24"/>
              </w:rPr>
              <w:t>过程CO</w:t>
            </w:r>
            <w:r>
              <w:rPr>
                <w:rFonts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排放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CO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回收量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9" w:hRule="atLeast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/>
                <w:sz w:val="24"/>
                <w:szCs w:val="24"/>
              </w:rPr>
              <w:t>净购入电力、热力产生的排放量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2275.31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br w:type="page"/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附表</w:t>
      </w:r>
      <w:r>
        <w:rPr>
          <w:rFonts w:ascii="仿宋" w:hAnsi="仿宋" w:eastAsia="仿宋"/>
          <w:b/>
          <w:kern w:val="0"/>
          <w:sz w:val="30"/>
          <w:szCs w:val="30"/>
        </w:rPr>
        <w:t>2</w:t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报告主体活动水平数据</w:t>
      </w:r>
    </w:p>
    <w:tbl>
      <w:tblPr>
        <w:tblStyle w:val="9"/>
        <w:tblpPr w:leftFromText="180" w:rightFromText="180" w:vertAnchor="text" w:horzAnchor="margin" w:tblpXSpec="center" w:tblpY="68"/>
        <w:tblOverlap w:val="never"/>
        <w:tblW w:w="8931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70"/>
        <w:gridCol w:w="2353"/>
        <w:gridCol w:w="2354"/>
        <w:gridCol w:w="23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排放源类别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燃料类别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净消耗量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（t，万Nm</w:t>
            </w:r>
            <w:r>
              <w:rPr>
                <w:rFonts w:ascii="仿宋" w:hAnsi="仿宋" w:eastAsia="仿宋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低位发热量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（GJ/万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Nm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燃料燃烧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天然气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300.7638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389.31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_GB2312"/>
          <w:kern w:val="0"/>
          <w:sz w:val="30"/>
          <w:szCs w:val="30"/>
        </w:rPr>
      </w:pPr>
    </w:p>
    <w:tbl>
      <w:tblPr>
        <w:tblStyle w:val="9"/>
        <w:tblW w:w="9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693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净购入使用的电力及热力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排放类型</w:t>
            </w:r>
          </w:p>
        </w:tc>
        <w:tc>
          <w:tcPr>
            <w:tcW w:w="3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净购入电力（MWh）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  <w:t>4328.154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净购入热力（GJ）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pPr>
        <w:rPr>
          <w:rFonts w:hint="eastAsia" w:ascii="仿宋" w:hAnsi="仿宋" w:eastAsia="仿宋" w:cs="仿宋_GB2312"/>
          <w:b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b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br w:type="page"/>
      </w:r>
    </w:p>
    <w:p>
      <w:pPr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附表</w:t>
      </w:r>
      <w:r>
        <w:rPr>
          <w:rFonts w:ascii="仿宋" w:hAnsi="仿宋" w:eastAsia="仿宋"/>
          <w:b/>
          <w:kern w:val="0"/>
          <w:sz w:val="30"/>
          <w:szCs w:val="30"/>
        </w:rPr>
        <w:t>3</w:t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报告主体排放因子和计算系数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0"/>
        <w:gridCol w:w="2104"/>
        <w:gridCol w:w="1841"/>
        <w:gridCol w:w="292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排放源类别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燃料类别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单位热值含碳量</w:t>
            </w:r>
            <w:r>
              <w:rPr>
                <w:rFonts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4"/>
              </w:rPr>
              <w:t>（tC/tJ）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碳氧化率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燃料燃烧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天然气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15.30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99%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净购入电力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排放因子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5257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tCO</w:t>
            </w:r>
            <w:r>
              <w:rPr>
                <w:rFonts w:ascii="仿宋" w:hAnsi="仿宋" w:eastAsia="仿宋"/>
                <w:color w:val="000000"/>
                <w:sz w:val="24"/>
                <w:vertAlign w:val="subscript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/MWh</w:t>
            </w:r>
          </w:p>
        </w:tc>
      </w:tr>
    </w:tbl>
    <w:p/>
    <w:p>
      <w:pPr>
        <w:rPr>
          <w:rFonts w:ascii="Times New Roman" w:eastAsia="仿宋" w:cs="Times New Roman"/>
          <w:b/>
        </w:rPr>
      </w:pPr>
    </w:p>
    <w:sectPr>
      <w:pgSz w:w="11906" w:h="16838"/>
      <w:pgMar w:top="1440" w:right="1803" w:bottom="1440" w:left="1803" w:header="851" w:footer="56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0975D"/>
    <w:multiLevelType w:val="singleLevel"/>
    <w:tmpl w:val="FA609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3AD"/>
    <w:rsid w:val="00006627"/>
    <w:rsid w:val="0002077B"/>
    <w:rsid w:val="00025EC4"/>
    <w:rsid w:val="000315D8"/>
    <w:rsid w:val="0003289A"/>
    <w:rsid w:val="000433CA"/>
    <w:rsid w:val="00064727"/>
    <w:rsid w:val="000712F6"/>
    <w:rsid w:val="00075095"/>
    <w:rsid w:val="000811C8"/>
    <w:rsid w:val="0008284C"/>
    <w:rsid w:val="000B1AAC"/>
    <w:rsid w:val="000E0F8E"/>
    <w:rsid w:val="000E6947"/>
    <w:rsid w:val="000F5BDA"/>
    <w:rsid w:val="00107EA9"/>
    <w:rsid w:val="00124473"/>
    <w:rsid w:val="00124E98"/>
    <w:rsid w:val="00136358"/>
    <w:rsid w:val="00150CF3"/>
    <w:rsid w:val="00172A27"/>
    <w:rsid w:val="001810BA"/>
    <w:rsid w:val="00191A8C"/>
    <w:rsid w:val="00193F90"/>
    <w:rsid w:val="001B22C1"/>
    <w:rsid w:val="001B601B"/>
    <w:rsid w:val="001C49BE"/>
    <w:rsid w:val="001E1874"/>
    <w:rsid w:val="0022434C"/>
    <w:rsid w:val="00225E29"/>
    <w:rsid w:val="00235DFB"/>
    <w:rsid w:val="0024175C"/>
    <w:rsid w:val="00251682"/>
    <w:rsid w:val="00251960"/>
    <w:rsid w:val="0028219E"/>
    <w:rsid w:val="0028549E"/>
    <w:rsid w:val="002871DD"/>
    <w:rsid w:val="002904AC"/>
    <w:rsid w:val="002B6316"/>
    <w:rsid w:val="002C0C8E"/>
    <w:rsid w:val="002D7997"/>
    <w:rsid w:val="002F47B4"/>
    <w:rsid w:val="003032FE"/>
    <w:rsid w:val="003033BF"/>
    <w:rsid w:val="00306FA7"/>
    <w:rsid w:val="0031446F"/>
    <w:rsid w:val="00326FDF"/>
    <w:rsid w:val="00330D9B"/>
    <w:rsid w:val="003325D4"/>
    <w:rsid w:val="0033744C"/>
    <w:rsid w:val="00337698"/>
    <w:rsid w:val="00347303"/>
    <w:rsid w:val="00370111"/>
    <w:rsid w:val="00370B31"/>
    <w:rsid w:val="00386A22"/>
    <w:rsid w:val="00394174"/>
    <w:rsid w:val="003A0AE8"/>
    <w:rsid w:val="003A3E87"/>
    <w:rsid w:val="003C3BB2"/>
    <w:rsid w:val="003C4D69"/>
    <w:rsid w:val="003D4FD6"/>
    <w:rsid w:val="003E38B5"/>
    <w:rsid w:val="003F1A0D"/>
    <w:rsid w:val="003F3A94"/>
    <w:rsid w:val="004018EF"/>
    <w:rsid w:val="00401ADB"/>
    <w:rsid w:val="00402D18"/>
    <w:rsid w:val="004265C5"/>
    <w:rsid w:val="00464A1A"/>
    <w:rsid w:val="00471049"/>
    <w:rsid w:val="00472A20"/>
    <w:rsid w:val="00483906"/>
    <w:rsid w:val="0049134A"/>
    <w:rsid w:val="00492419"/>
    <w:rsid w:val="00495756"/>
    <w:rsid w:val="0049613D"/>
    <w:rsid w:val="004B0A78"/>
    <w:rsid w:val="004B2F85"/>
    <w:rsid w:val="004D69F5"/>
    <w:rsid w:val="004E3486"/>
    <w:rsid w:val="004E37DF"/>
    <w:rsid w:val="004E768F"/>
    <w:rsid w:val="004F1AD5"/>
    <w:rsid w:val="004F22A1"/>
    <w:rsid w:val="004F4A87"/>
    <w:rsid w:val="00504532"/>
    <w:rsid w:val="00514AF5"/>
    <w:rsid w:val="00526EDE"/>
    <w:rsid w:val="0055010D"/>
    <w:rsid w:val="00564E86"/>
    <w:rsid w:val="0057494E"/>
    <w:rsid w:val="00576891"/>
    <w:rsid w:val="00583E65"/>
    <w:rsid w:val="0058699F"/>
    <w:rsid w:val="005C7D39"/>
    <w:rsid w:val="005D03A1"/>
    <w:rsid w:val="005D2694"/>
    <w:rsid w:val="005D5454"/>
    <w:rsid w:val="005E6D03"/>
    <w:rsid w:val="005F03D9"/>
    <w:rsid w:val="005F2E6F"/>
    <w:rsid w:val="00611FDE"/>
    <w:rsid w:val="00612EC8"/>
    <w:rsid w:val="00616415"/>
    <w:rsid w:val="00616D47"/>
    <w:rsid w:val="00621E42"/>
    <w:rsid w:val="00622D9A"/>
    <w:rsid w:val="00630D75"/>
    <w:rsid w:val="00630F2F"/>
    <w:rsid w:val="006312A4"/>
    <w:rsid w:val="006319BC"/>
    <w:rsid w:val="006363CB"/>
    <w:rsid w:val="00653F87"/>
    <w:rsid w:val="00682645"/>
    <w:rsid w:val="00690489"/>
    <w:rsid w:val="0069115C"/>
    <w:rsid w:val="006A2385"/>
    <w:rsid w:val="006B347A"/>
    <w:rsid w:val="006C0A79"/>
    <w:rsid w:val="006C6137"/>
    <w:rsid w:val="006D6669"/>
    <w:rsid w:val="006F0191"/>
    <w:rsid w:val="006F151B"/>
    <w:rsid w:val="006F6DF1"/>
    <w:rsid w:val="00707FBF"/>
    <w:rsid w:val="0075774E"/>
    <w:rsid w:val="007642B4"/>
    <w:rsid w:val="00774955"/>
    <w:rsid w:val="007877F8"/>
    <w:rsid w:val="00792F85"/>
    <w:rsid w:val="007A4F6E"/>
    <w:rsid w:val="007A50A8"/>
    <w:rsid w:val="007A5401"/>
    <w:rsid w:val="007B31B1"/>
    <w:rsid w:val="007E1E41"/>
    <w:rsid w:val="008162C7"/>
    <w:rsid w:val="008379DA"/>
    <w:rsid w:val="008423ED"/>
    <w:rsid w:val="00852057"/>
    <w:rsid w:val="00852C93"/>
    <w:rsid w:val="00856C67"/>
    <w:rsid w:val="00884D1B"/>
    <w:rsid w:val="008921A7"/>
    <w:rsid w:val="00895010"/>
    <w:rsid w:val="00897D40"/>
    <w:rsid w:val="008A2340"/>
    <w:rsid w:val="008A3ED4"/>
    <w:rsid w:val="008A633F"/>
    <w:rsid w:val="008B40FD"/>
    <w:rsid w:val="008C3C1E"/>
    <w:rsid w:val="008C43A2"/>
    <w:rsid w:val="008F5CE0"/>
    <w:rsid w:val="0090007E"/>
    <w:rsid w:val="00921936"/>
    <w:rsid w:val="009219BF"/>
    <w:rsid w:val="009250E7"/>
    <w:rsid w:val="009357B6"/>
    <w:rsid w:val="00941BD9"/>
    <w:rsid w:val="00953A09"/>
    <w:rsid w:val="00954817"/>
    <w:rsid w:val="00972626"/>
    <w:rsid w:val="00977E9A"/>
    <w:rsid w:val="009869F2"/>
    <w:rsid w:val="009945E6"/>
    <w:rsid w:val="009968E1"/>
    <w:rsid w:val="00996E40"/>
    <w:rsid w:val="009A0940"/>
    <w:rsid w:val="009B73CC"/>
    <w:rsid w:val="009C382A"/>
    <w:rsid w:val="009D0CE9"/>
    <w:rsid w:val="009F0819"/>
    <w:rsid w:val="00A073CD"/>
    <w:rsid w:val="00A24175"/>
    <w:rsid w:val="00A306A6"/>
    <w:rsid w:val="00A341FB"/>
    <w:rsid w:val="00A35A02"/>
    <w:rsid w:val="00A462B4"/>
    <w:rsid w:val="00A47DFD"/>
    <w:rsid w:val="00A937B7"/>
    <w:rsid w:val="00AB0032"/>
    <w:rsid w:val="00AC1B27"/>
    <w:rsid w:val="00AC64DD"/>
    <w:rsid w:val="00AE4EA7"/>
    <w:rsid w:val="00AF4D05"/>
    <w:rsid w:val="00B07AB7"/>
    <w:rsid w:val="00B16FAB"/>
    <w:rsid w:val="00B20291"/>
    <w:rsid w:val="00B64B3D"/>
    <w:rsid w:val="00B95275"/>
    <w:rsid w:val="00B95BE8"/>
    <w:rsid w:val="00BA1791"/>
    <w:rsid w:val="00BB607F"/>
    <w:rsid w:val="00BB6113"/>
    <w:rsid w:val="00BD18FB"/>
    <w:rsid w:val="00C137A9"/>
    <w:rsid w:val="00C156B8"/>
    <w:rsid w:val="00C156F7"/>
    <w:rsid w:val="00C26F03"/>
    <w:rsid w:val="00C34F39"/>
    <w:rsid w:val="00C54FBC"/>
    <w:rsid w:val="00C614D9"/>
    <w:rsid w:val="00C82A7E"/>
    <w:rsid w:val="00C978A0"/>
    <w:rsid w:val="00CA232A"/>
    <w:rsid w:val="00CB0B31"/>
    <w:rsid w:val="00CC76D9"/>
    <w:rsid w:val="00CC77CE"/>
    <w:rsid w:val="00CD6744"/>
    <w:rsid w:val="00CE0C81"/>
    <w:rsid w:val="00CE0CE5"/>
    <w:rsid w:val="00CF13CB"/>
    <w:rsid w:val="00CF17F0"/>
    <w:rsid w:val="00D04660"/>
    <w:rsid w:val="00D05B0B"/>
    <w:rsid w:val="00D200FA"/>
    <w:rsid w:val="00D21D1F"/>
    <w:rsid w:val="00D26B27"/>
    <w:rsid w:val="00D3188B"/>
    <w:rsid w:val="00D347AD"/>
    <w:rsid w:val="00D367DD"/>
    <w:rsid w:val="00D44CA9"/>
    <w:rsid w:val="00D71961"/>
    <w:rsid w:val="00D73C85"/>
    <w:rsid w:val="00D758E5"/>
    <w:rsid w:val="00D83E5A"/>
    <w:rsid w:val="00D94407"/>
    <w:rsid w:val="00DC099E"/>
    <w:rsid w:val="00DD0BD1"/>
    <w:rsid w:val="00DD4A99"/>
    <w:rsid w:val="00DD59B8"/>
    <w:rsid w:val="00DE7617"/>
    <w:rsid w:val="00E30F8E"/>
    <w:rsid w:val="00E40CF4"/>
    <w:rsid w:val="00E46472"/>
    <w:rsid w:val="00E55A9C"/>
    <w:rsid w:val="00E8180F"/>
    <w:rsid w:val="00E97D1D"/>
    <w:rsid w:val="00EB3615"/>
    <w:rsid w:val="00EC6396"/>
    <w:rsid w:val="00ED79F0"/>
    <w:rsid w:val="00EE68F3"/>
    <w:rsid w:val="00EF5DA5"/>
    <w:rsid w:val="00F03BE0"/>
    <w:rsid w:val="00F142AF"/>
    <w:rsid w:val="00F1502A"/>
    <w:rsid w:val="00F20B6F"/>
    <w:rsid w:val="00F24E27"/>
    <w:rsid w:val="00F252F4"/>
    <w:rsid w:val="00F36548"/>
    <w:rsid w:val="00F37344"/>
    <w:rsid w:val="00F701DB"/>
    <w:rsid w:val="00F82E37"/>
    <w:rsid w:val="00F95937"/>
    <w:rsid w:val="00F97300"/>
    <w:rsid w:val="00FE0708"/>
    <w:rsid w:val="00FE110E"/>
    <w:rsid w:val="00FE1237"/>
    <w:rsid w:val="00FE623A"/>
    <w:rsid w:val="00FE6FF4"/>
    <w:rsid w:val="00FF24F3"/>
    <w:rsid w:val="072D6C95"/>
    <w:rsid w:val="0A546CFD"/>
    <w:rsid w:val="0A573505"/>
    <w:rsid w:val="0AEF1993"/>
    <w:rsid w:val="10FF266F"/>
    <w:rsid w:val="122C565F"/>
    <w:rsid w:val="12965F05"/>
    <w:rsid w:val="192075B9"/>
    <w:rsid w:val="1C442E6B"/>
    <w:rsid w:val="1E3B545A"/>
    <w:rsid w:val="2009690A"/>
    <w:rsid w:val="20445C54"/>
    <w:rsid w:val="23D941DC"/>
    <w:rsid w:val="28D1770E"/>
    <w:rsid w:val="294272F0"/>
    <w:rsid w:val="29FB11D2"/>
    <w:rsid w:val="2E7D605F"/>
    <w:rsid w:val="3B617677"/>
    <w:rsid w:val="3F3C6A4D"/>
    <w:rsid w:val="40AE1C96"/>
    <w:rsid w:val="45162395"/>
    <w:rsid w:val="48831983"/>
    <w:rsid w:val="4B9E091B"/>
    <w:rsid w:val="4FFB4603"/>
    <w:rsid w:val="510A68E7"/>
    <w:rsid w:val="51227066"/>
    <w:rsid w:val="587924B3"/>
    <w:rsid w:val="587E21BE"/>
    <w:rsid w:val="5890350C"/>
    <w:rsid w:val="5D96372C"/>
    <w:rsid w:val="67675890"/>
    <w:rsid w:val="6BAC1366"/>
    <w:rsid w:val="6CEF01DB"/>
    <w:rsid w:val="6E547C88"/>
    <w:rsid w:val="71313AC1"/>
    <w:rsid w:val="72C84E5C"/>
    <w:rsid w:val="76CA2E72"/>
    <w:rsid w:val="7D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customStyle="1" w:styleId="14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5">
    <w:name w:val="段 Char Char"/>
    <w:link w:val="16"/>
    <w:qFormat/>
    <w:uiPriority w:val="0"/>
    <w:rPr>
      <w:rFonts w:ascii="宋体" w:hAnsi="Calibri"/>
      <w:kern w:val="2"/>
      <w:sz w:val="21"/>
      <w:szCs w:val="22"/>
      <w:lang w:val="en-US" w:eastAsia="zh-CN" w:bidi="ar-SA"/>
    </w:rPr>
  </w:style>
  <w:style w:type="paragraph" w:customStyle="1" w:styleId="16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主题 Char"/>
    <w:link w:val="8"/>
    <w:qFormat/>
    <w:uiPriority w:val="0"/>
    <w:rPr>
      <w:b/>
      <w:bCs/>
      <w:kern w:val="2"/>
      <w:sz w:val="21"/>
      <w:szCs w:val="22"/>
    </w:rPr>
  </w:style>
  <w:style w:type="character" w:customStyle="1" w:styleId="18">
    <w:name w:val="页脚 Char"/>
    <w:link w:val="4"/>
    <w:qFormat/>
    <w:uiPriority w:val="99"/>
    <w:rPr>
      <w:kern w:val="2"/>
      <w:sz w:val="18"/>
      <w:szCs w:val="22"/>
    </w:rPr>
  </w:style>
  <w:style w:type="character" w:customStyle="1" w:styleId="19">
    <w:name w:val="批注文字 Char"/>
    <w:link w:val="2"/>
    <w:qFormat/>
    <w:uiPriority w:val="0"/>
    <w:rPr>
      <w:kern w:val="2"/>
      <w:sz w:val="21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脚注文本 Char"/>
    <w:link w:val="6"/>
    <w:semiHidden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页眉 Char"/>
    <w:link w:val="5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1C4E-E491-42B7-BCF4-81F6699C5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1236</Words>
  <Characters>1455</Characters>
  <Lines>43</Lines>
  <Paragraphs>12</Paragraphs>
  <TotalTime>0</TotalTime>
  <ScaleCrop>false</ScaleCrop>
  <LinksUpToDate>false</LinksUpToDate>
  <CharactersWithSpaces>1471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2019-01-15T08:30:00Z</dcterms:created>
  <dc:creator>Administrator</dc:creator>
  <cp:lastModifiedBy>lg</cp:lastModifiedBy>
  <cp:lastPrinted>2019-04-09T18:55:00Z</cp:lastPrinted>
  <dcterms:modified xsi:type="dcterms:W3CDTF">2022-06-09T09:14:09Z</dcterms:modified>
  <dc:title>中国××企业温室气体排放报告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F2A9182C28234B76BD79E52A017E6F67</vt:lpwstr>
  </property>
</Properties>
</file>